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tblpY="1"/>
        <w:tblOverlap w:val="never"/>
        <w:tblW w:w="18715" w:type="dxa"/>
        <w:tblLayout w:type="fixed"/>
        <w:tblCellMar>
          <w:left w:w="70" w:type="dxa"/>
          <w:right w:w="70" w:type="dxa"/>
        </w:tblCellMar>
        <w:tblLook w:val="04A0" w:firstRow="1" w:lastRow="0" w:firstColumn="1" w:lastColumn="0" w:noHBand="0" w:noVBand="1"/>
      </w:tblPr>
      <w:tblGrid>
        <w:gridCol w:w="2227"/>
        <w:gridCol w:w="1368"/>
        <w:gridCol w:w="1350"/>
        <w:gridCol w:w="1346"/>
        <w:gridCol w:w="1354"/>
        <w:gridCol w:w="1350"/>
        <w:gridCol w:w="1350"/>
        <w:gridCol w:w="810"/>
        <w:gridCol w:w="810"/>
        <w:gridCol w:w="474"/>
        <w:gridCol w:w="475"/>
        <w:gridCol w:w="475"/>
        <w:gridCol w:w="1153"/>
        <w:gridCol w:w="4173"/>
      </w:tblGrid>
      <w:tr w:rsidR="00F83679" w:rsidRPr="003E2CFD" w14:paraId="0325A3D9" w14:textId="77777777" w:rsidTr="007A7B06">
        <w:trPr>
          <w:trHeight w:val="3168"/>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9260F6" w14:textId="77777777" w:rsidR="00940CA7" w:rsidRPr="00120D21" w:rsidRDefault="00940CA7" w:rsidP="000250B5">
            <w:pPr>
              <w:spacing w:after="0" w:line="240" w:lineRule="auto"/>
              <w:jc w:val="center"/>
              <w:rPr>
                <w:rFonts w:ascii="Calibri" w:eastAsia="Times New Roman" w:hAnsi="Calibri" w:cs="Calibri"/>
                <w:kern w:val="0"/>
                <w:sz w:val="22"/>
                <w:szCs w:val="22"/>
                <w:lang w:val="en-US"/>
                <w14:ligatures w14:val="none"/>
              </w:rPr>
            </w:pPr>
            <w:r w:rsidRPr="00120D21">
              <w:rPr>
                <w:rFonts w:ascii="Calibri" w:eastAsia="Times New Roman" w:hAnsi="Calibri" w:cs="Calibri"/>
                <w:kern w:val="0"/>
                <w:sz w:val="22"/>
                <w:szCs w:val="22"/>
                <w:lang w:val="en-US"/>
                <w14:ligatures w14:val="none"/>
              </w:rPr>
              <w:t xml:space="preserve">AT v Wireless Idea Management y </w:t>
            </w:r>
            <w:proofErr w:type="spellStart"/>
            <w:r w:rsidRPr="00120D21">
              <w:rPr>
                <w:rFonts w:ascii="Calibri" w:eastAsia="Times New Roman" w:hAnsi="Calibri" w:cs="Calibri"/>
                <w:kern w:val="0"/>
                <w:sz w:val="22"/>
                <w:szCs w:val="22"/>
                <w:lang w:val="en-US"/>
                <w14:ligatures w14:val="none"/>
              </w:rPr>
              <w:t>otros</w:t>
            </w:r>
            <w:proofErr w:type="spellEnd"/>
          </w:p>
        </w:tc>
        <w:tc>
          <w:tcPr>
            <w:tcW w:w="1368" w:type="dxa"/>
            <w:tcBorders>
              <w:top w:val="single" w:sz="4" w:space="0" w:color="auto"/>
              <w:left w:val="nil"/>
              <w:bottom w:val="single" w:sz="4" w:space="0" w:color="auto"/>
              <w:right w:val="single" w:sz="4" w:space="0" w:color="auto"/>
            </w:tcBorders>
            <w:shd w:val="clear" w:color="auto" w:fill="auto"/>
            <w:noWrap/>
            <w:vAlign w:val="center"/>
            <w:hideMark/>
          </w:tcPr>
          <w:p w14:paraId="729E6DEB" w14:textId="77777777" w:rsidR="00940CA7" w:rsidRPr="00F13E8E" w:rsidRDefault="00940CA7" w:rsidP="000250B5">
            <w:pPr>
              <w:spacing w:after="0" w:line="240" w:lineRule="auto"/>
              <w:jc w:val="center"/>
              <w:rPr>
                <w:rFonts w:ascii="Calibri" w:eastAsia="Times New Roman" w:hAnsi="Calibri" w:cs="Calibri"/>
                <w:color w:val="000000"/>
                <w:kern w:val="0"/>
                <w:sz w:val="16"/>
                <w:szCs w:val="16"/>
                <w:lang w:val="en-US"/>
                <w14:ligatures w14:val="none"/>
              </w:rPr>
            </w:pP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42EBC52F" w14:textId="77777777" w:rsidR="00940CA7" w:rsidRPr="003E2CFD" w:rsidRDefault="00940CA7" w:rsidP="000250B5">
            <w:pPr>
              <w:spacing w:after="0" w:line="240" w:lineRule="auto"/>
              <w:jc w:val="center"/>
              <w:rPr>
                <w:rFonts w:ascii="Calibri" w:eastAsia="Times New Roman" w:hAnsi="Calibri" w:cs="Calibri"/>
                <w:color w:val="000000"/>
                <w:kern w:val="0"/>
                <w:sz w:val="16"/>
                <w:szCs w:val="16"/>
                <w14:ligatures w14:val="none"/>
              </w:rPr>
            </w:pPr>
            <w:r w:rsidRPr="003E2CFD">
              <w:rPr>
                <w:rFonts w:ascii="Calibri" w:eastAsia="Times New Roman" w:hAnsi="Calibri" w:cs="Calibri"/>
                <w:color w:val="000000"/>
                <w:kern w:val="0"/>
                <w:sz w:val="16"/>
                <w:szCs w:val="16"/>
                <w14:ligatures w14:val="none"/>
              </w:rPr>
              <w:t>SJ2018cv03609</w:t>
            </w:r>
          </w:p>
        </w:tc>
        <w:tc>
          <w:tcPr>
            <w:tcW w:w="1346" w:type="dxa"/>
            <w:tcBorders>
              <w:top w:val="single" w:sz="4" w:space="0" w:color="auto"/>
              <w:left w:val="nil"/>
              <w:bottom w:val="single" w:sz="4" w:space="0" w:color="auto"/>
              <w:right w:val="single" w:sz="4" w:space="0" w:color="auto"/>
            </w:tcBorders>
            <w:shd w:val="clear" w:color="auto" w:fill="auto"/>
            <w:noWrap/>
            <w:vAlign w:val="center"/>
            <w:hideMark/>
          </w:tcPr>
          <w:p w14:paraId="69F87CCE" w14:textId="77777777" w:rsidR="00940CA7" w:rsidRPr="003E2CFD" w:rsidRDefault="00940CA7" w:rsidP="000250B5">
            <w:pPr>
              <w:spacing w:after="0" w:line="240" w:lineRule="auto"/>
              <w:jc w:val="center"/>
              <w:rPr>
                <w:rFonts w:ascii="Calibri" w:eastAsia="Times New Roman" w:hAnsi="Calibri" w:cs="Calibri"/>
                <w:color w:val="000000"/>
                <w:kern w:val="0"/>
                <w:sz w:val="16"/>
                <w:szCs w:val="16"/>
                <w14:ligatures w14:val="none"/>
              </w:rPr>
            </w:pPr>
            <w:r w:rsidRPr="003E2CFD">
              <w:rPr>
                <w:rFonts w:ascii="Calibri" w:eastAsia="Times New Roman" w:hAnsi="Calibri" w:cs="Calibri"/>
                <w:color w:val="000000"/>
                <w:kern w:val="0"/>
                <w:sz w:val="16"/>
                <w:szCs w:val="16"/>
                <w14:ligatures w14:val="none"/>
              </w:rPr>
              <w:t>KLCE201900730</w:t>
            </w:r>
          </w:p>
        </w:tc>
        <w:tc>
          <w:tcPr>
            <w:tcW w:w="1354" w:type="dxa"/>
            <w:tcBorders>
              <w:top w:val="single" w:sz="4" w:space="0" w:color="auto"/>
              <w:left w:val="nil"/>
              <w:bottom w:val="single" w:sz="4" w:space="0" w:color="auto"/>
              <w:right w:val="single" w:sz="4" w:space="0" w:color="auto"/>
            </w:tcBorders>
            <w:shd w:val="clear" w:color="auto" w:fill="auto"/>
            <w:noWrap/>
            <w:vAlign w:val="center"/>
            <w:hideMark/>
          </w:tcPr>
          <w:p w14:paraId="7CD8D7C7" w14:textId="77777777" w:rsidR="00940CA7" w:rsidRPr="003E2CFD" w:rsidRDefault="00940CA7" w:rsidP="000250B5">
            <w:pPr>
              <w:spacing w:after="0" w:line="240" w:lineRule="auto"/>
              <w:jc w:val="center"/>
              <w:rPr>
                <w:rFonts w:ascii="Calibri" w:eastAsia="Times New Roman" w:hAnsi="Calibri" w:cs="Calibri"/>
                <w:color w:val="000000"/>
                <w:kern w:val="0"/>
                <w:sz w:val="16"/>
                <w:szCs w:val="16"/>
                <w14:ligatures w14:val="none"/>
              </w:rPr>
            </w:pPr>
            <w:r w:rsidRPr="003E2CFD">
              <w:rPr>
                <w:rFonts w:ascii="Calibri" w:eastAsia="Times New Roman" w:hAnsi="Calibri" w:cs="Calibri"/>
                <w:color w:val="000000"/>
                <w:kern w:val="0"/>
                <w:sz w:val="16"/>
                <w:szCs w:val="16"/>
                <w14:ligatures w14:val="none"/>
              </w:rPr>
              <w:t>AC-19-122</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25DAF18B" w14:textId="77777777" w:rsidR="00940CA7" w:rsidRPr="003E2CFD" w:rsidRDefault="00940CA7"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5B712BE6" w14:textId="77777777" w:rsidR="00940CA7" w:rsidRPr="003E2CFD" w:rsidRDefault="00940CA7"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1FADFE8F" w14:textId="77777777" w:rsidR="00940CA7" w:rsidRPr="003E2CFD" w:rsidRDefault="00940CA7"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710B6BEB" w14:textId="77777777" w:rsidR="00940CA7" w:rsidRPr="00E440BE" w:rsidRDefault="00940CA7"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4" w:type="dxa"/>
            <w:tcBorders>
              <w:top w:val="single" w:sz="4" w:space="0" w:color="auto"/>
              <w:left w:val="nil"/>
              <w:bottom w:val="single" w:sz="4" w:space="0" w:color="auto"/>
              <w:right w:val="single" w:sz="4" w:space="0" w:color="auto"/>
            </w:tcBorders>
            <w:shd w:val="clear" w:color="auto" w:fill="auto"/>
            <w:noWrap/>
            <w:vAlign w:val="center"/>
            <w:hideMark/>
          </w:tcPr>
          <w:p w14:paraId="5E380A82" w14:textId="77777777" w:rsidR="00940CA7" w:rsidRPr="00E440BE" w:rsidRDefault="00940CA7"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14:paraId="26F80BE6" w14:textId="77777777" w:rsidR="00940CA7" w:rsidRPr="00E440BE" w:rsidRDefault="00940CA7" w:rsidP="000250B5">
            <w:pPr>
              <w:spacing w:after="0" w:line="240" w:lineRule="auto"/>
              <w:jc w:val="center"/>
              <w:rPr>
                <w:rFonts w:ascii="Calibri" w:eastAsia="Times New Roman" w:hAnsi="Calibri" w:cs="Calibri"/>
                <w:color w:val="000000"/>
                <w:kern w:val="0"/>
                <w:sz w:val="16"/>
                <w:szCs w:val="16"/>
                <w14:ligatures w14:val="none"/>
              </w:rPr>
            </w:pPr>
          </w:p>
        </w:tc>
        <w:tc>
          <w:tcPr>
            <w:tcW w:w="475" w:type="dxa"/>
            <w:tcBorders>
              <w:top w:val="single" w:sz="4" w:space="0" w:color="auto"/>
              <w:left w:val="nil"/>
              <w:bottom w:val="single" w:sz="4" w:space="0" w:color="auto"/>
              <w:right w:val="single" w:sz="4" w:space="0" w:color="auto"/>
            </w:tcBorders>
            <w:shd w:val="clear" w:color="auto" w:fill="auto"/>
            <w:noWrap/>
            <w:vAlign w:val="center"/>
            <w:hideMark/>
          </w:tcPr>
          <w:p w14:paraId="14ED34E6" w14:textId="77777777" w:rsidR="00940CA7" w:rsidRPr="00E440BE" w:rsidRDefault="00940CA7" w:rsidP="000250B5">
            <w:pPr>
              <w:spacing w:after="0" w:line="240" w:lineRule="auto"/>
              <w:jc w:val="center"/>
              <w:rPr>
                <w:rFonts w:ascii="Calibri" w:eastAsia="Times New Roman" w:hAnsi="Calibri" w:cs="Calibri"/>
                <w:color w:val="000000"/>
                <w:kern w:val="0"/>
                <w:sz w:val="16"/>
                <w:szCs w:val="16"/>
                <w14:ligatures w14:val="none"/>
              </w:rPr>
            </w:pPr>
          </w:p>
        </w:tc>
        <w:tc>
          <w:tcPr>
            <w:tcW w:w="1153" w:type="dxa"/>
            <w:tcBorders>
              <w:top w:val="single" w:sz="4" w:space="0" w:color="auto"/>
              <w:left w:val="nil"/>
              <w:bottom w:val="single" w:sz="4" w:space="0" w:color="auto"/>
              <w:right w:val="single" w:sz="4" w:space="0" w:color="auto"/>
            </w:tcBorders>
            <w:shd w:val="clear" w:color="auto" w:fill="auto"/>
            <w:noWrap/>
            <w:vAlign w:val="center"/>
            <w:hideMark/>
          </w:tcPr>
          <w:p w14:paraId="6B1313D3" w14:textId="77777777" w:rsidR="00940CA7" w:rsidRPr="00E440BE" w:rsidRDefault="00940CA7"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$221,836.98</w:t>
            </w:r>
          </w:p>
        </w:tc>
        <w:tc>
          <w:tcPr>
            <w:tcW w:w="4173" w:type="dxa"/>
            <w:tcBorders>
              <w:top w:val="single" w:sz="4" w:space="0" w:color="auto"/>
              <w:left w:val="nil"/>
              <w:bottom w:val="single" w:sz="4" w:space="0" w:color="auto"/>
              <w:right w:val="single" w:sz="4" w:space="0" w:color="auto"/>
            </w:tcBorders>
            <w:shd w:val="clear" w:color="auto" w:fill="auto"/>
            <w:vAlign w:val="center"/>
            <w:hideMark/>
          </w:tcPr>
          <w:p w14:paraId="55EC6F4D" w14:textId="77777777" w:rsidR="00CA7101" w:rsidRPr="00E440BE" w:rsidRDefault="003C78CF" w:rsidP="000250B5">
            <w:pPr>
              <w:spacing w:after="0" w:line="240" w:lineRule="auto"/>
              <w:jc w:val="both"/>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 xml:space="preserve">Se trata de un caso en el que la Administración de Terrenos reclama cánones de arrendamiento adeudados a la parte Demandada. Luego de recursos apelativos por el codemandado Melchor, permanecieron en el pleito las entidades jurídicas demandadas y el individuo codemandado Melchor. Recientemente, la Administración llegó a un acuerdo en virtud del cual desistió parcialmente de la Demanda en cuanto al codemandado Melchor por la suma total de $30,000.00, pagadera en dos (2) plazos de $15,000.00 cada uno. El primer pago lo efectuó Melchor con la firma de la Estipulación y el otro pago está pendiente, pero el plazo no ha vencido aún. Como consecuencia del acuerdo con Melchor se dictó Sentencia Parcial en cuanto a dicho codemandado. La codemandada Wireless Idea Management está en rebeldía y está pendiente una solicitud para que se eliminen las alegaciones a la codemandada Wireless Idea Corporation. </w:t>
            </w:r>
          </w:p>
          <w:p w14:paraId="6A76BB28" w14:textId="77777777" w:rsidR="004D0365" w:rsidRPr="00E440BE" w:rsidRDefault="004D0365" w:rsidP="000250B5">
            <w:pPr>
              <w:spacing w:after="0" w:line="240" w:lineRule="auto"/>
              <w:jc w:val="both"/>
              <w:rPr>
                <w:rFonts w:ascii="Calibri" w:eastAsia="Times New Roman" w:hAnsi="Calibri" w:cs="Calibri"/>
                <w:color w:val="000000"/>
                <w:kern w:val="0"/>
                <w:sz w:val="16"/>
                <w:szCs w:val="16"/>
                <w14:ligatures w14:val="none"/>
              </w:rPr>
            </w:pPr>
          </w:p>
          <w:p w14:paraId="67F6D3BB" w14:textId="77777777" w:rsidR="003C78CF" w:rsidRPr="00E440BE" w:rsidRDefault="003C78CF" w:rsidP="000250B5">
            <w:pPr>
              <w:spacing w:after="0" w:line="240" w:lineRule="auto"/>
              <w:jc w:val="both"/>
              <w:rPr>
                <w:rFonts w:ascii="Calibri" w:eastAsia="Times New Roman" w:hAnsi="Calibri" w:cs="Calibri"/>
                <w:color w:val="000000"/>
                <w:kern w:val="0"/>
                <w:sz w:val="16"/>
                <w:szCs w:val="16"/>
                <w14:ligatures w14:val="none"/>
              </w:rPr>
            </w:pPr>
          </w:p>
        </w:tc>
      </w:tr>
      <w:tr w:rsidR="00CA7101" w:rsidRPr="003E2CFD" w14:paraId="4A43DAF1" w14:textId="77777777" w:rsidTr="007A7B06">
        <w:trPr>
          <w:trHeight w:val="3878"/>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0B796C" w14:textId="77777777" w:rsidR="00CA7101" w:rsidRPr="00120D21" w:rsidRDefault="00CA7101" w:rsidP="000250B5">
            <w:pPr>
              <w:spacing w:after="0" w:line="240" w:lineRule="auto"/>
              <w:jc w:val="center"/>
              <w:rPr>
                <w:rFonts w:ascii="Calibri" w:eastAsia="Times New Roman" w:hAnsi="Calibri" w:cs="Calibri"/>
                <w:color w:val="0070C0"/>
                <w:kern w:val="0"/>
                <w:sz w:val="22"/>
                <w:szCs w:val="22"/>
                <w:lang w:val="en-US"/>
                <w14:ligatures w14:val="none"/>
              </w:rPr>
            </w:pPr>
            <w:r w:rsidRPr="00120D21">
              <w:rPr>
                <w:rFonts w:ascii="Calibri" w:eastAsia="Times New Roman" w:hAnsi="Calibri" w:cs="Calibri"/>
                <w:kern w:val="0"/>
                <w:sz w:val="22"/>
                <w:szCs w:val="22"/>
                <w:lang w:val="en-US"/>
                <w14:ligatures w14:val="none"/>
              </w:rPr>
              <w:t>AT v René Hernández Arencibia</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113E09EB" w14:textId="77777777" w:rsidR="00CA7101" w:rsidRPr="007A7B06" w:rsidRDefault="00CA7101" w:rsidP="000250B5">
            <w:pPr>
              <w:spacing w:after="0" w:line="240" w:lineRule="auto"/>
              <w:jc w:val="center"/>
              <w:rPr>
                <w:rFonts w:ascii="Calibri" w:eastAsia="Times New Roman" w:hAnsi="Calibri" w:cs="Calibri"/>
                <w:color w:val="000000"/>
                <w:kern w:val="0"/>
                <w:sz w:val="16"/>
                <w:szCs w:val="16"/>
                <w:lang w:val="en-US"/>
                <w14:ligatures w14:val="none"/>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140F3326" w14:textId="77777777" w:rsidR="00CA7101" w:rsidRPr="003E2CFD" w:rsidRDefault="00CA7101" w:rsidP="000250B5">
            <w:pPr>
              <w:spacing w:after="0" w:line="240" w:lineRule="auto"/>
              <w:jc w:val="center"/>
              <w:rPr>
                <w:rFonts w:ascii="Calibri" w:eastAsia="Times New Roman" w:hAnsi="Calibri" w:cs="Calibri"/>
                <w:color w:val="000000"/>
                <w:kern w:val="0"/>
                <w:sz w:val="16"/>
                <w:szCs w:val="16"/>
                <w14:ligatures w14:val="none"/>
              </w:rPr>
            </w:pPr>
            <w:r w:rsidRPr="003E2CFD">
              <w:rPr>
                <w:rFonts w:ascii="Calibri" w:eastAsia="Times New Roman" w:hAnsi="Calibri" w:cs="Calibri"/>
                <w:color w:val="000000"/>
                <w:kern w:val="0"/>
                <w:sz w:val="16"/>
                <w:szCs w:val="16"/>
                <w14:ligatures w14:val="none"/>
              </w:rPr>
              <w:t>K AC2003-5282 (507)</w:t>
            </w: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2629E3D1" w14:textId="77777777" w:rsidR="00CA7101" w:rsidRPr="003E2CFD" w:rsidRDefault="00CA7101" w:rsidP="000250B5">
            <w:pPr>
              <w:spacing w:after="0" w:line="240" w:lineRule="auto"/>
              <w:jc w:val="center"/>
              <w:rPr>
                <w:rFonts w:ascii="Calibri" w:eastAsia="Times New Roman" w:hAnsi="Calibri" w:cs="Calibri"/>
                <w:color w:val="000000"/>
                <w:kern w:val="0"/>
                <w:sz w:val="16"/>
                <w:szCs w:val="16"/>
                <w14:ligatures w14:val="none"/>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30158671" w14:textId="77777777" w:rsidR="00CA7101" w:rsidRPr="003E2CFD" w:rsidRDefault="00CA7101"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4D37BC3" w14:textId="77777777" w:rsidR="00CA7101" w:rsidRPr="003E2CFD" w:rsidRDefault="00CA7101"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03FB219" w14:textId="77777777" w:rsidR="00CA7101" w:rsidRPr="003E2CFD" w:rsidRDefault="00CA7101"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26A01CC9" w14:textId="77777777" w:rsidR="00CA7101" w:rsidRPr="003E2CFD" w:rsidRDefault="00CA7101"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677D0B3C" w14:textId="77777777" w:rsidR="00CA7101" w:rsidRPr="00E440BE" w:rsidRDefault="00CA7101"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4324D836" w14:textId="77777777" w:rsidR="00CA7101" w:rsidRPr="00E440BE" w:rsidRDefault="00CA7101"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77875A2B" w14:textId="77777777" w:rsidR="00CA7101" w:rsidRPr="00E440BE" w:rsidRDefault="00CA7101"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1E9B1990" w14:textId="77777777" w:rsidR="00CA7101" w:rsidRPr="00E440BE" w:rsidRDefault="00CA7101" w:rsidP="000250B5">
            <w:pPr>
              <w:spacing w:after="0" w:line="240" w:lineRule="auto"/>
              <w:jc w:val="center"/>
              <w:rPr>
                <w:rFonts w:ascii="Calibri" w:eastAsia="Times New Roman" w:hAnsi="Calibri" w:cs="Calibri"/>
                <w:color w:val="000000"/>
                <w:kern w:val="0"/>
                <w:sz w:val="16"/>
                <w:szCs w:val="16"/>
                <w14:ligatures w14:val="none"/>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3F30590B" w14:textId="77777777" w:rsidR="00CA7101" w:rsidRPr="00E440BE" w:rsidRDefault="00CA7101"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$42,000.00</w:t>
            </w:r>
          </w:p>
        </w:tc>
        <w:tc>
          <w:tcPr>
            <w:tcW w:w="4173" w:type="dxa"/>
            <w:tcBorders>
              <w:top w:val="single" w:sz="4" w:space="0" w:color="auto"/>
              <w:left w:val="nil"/>
              <w:bottom w:val="single" w:sz="4" w:space="0" w:color="auto"/>
              <w:right w:val="single" w:sz="4" w:space="0" w:color="auto"/>
            </w:tcBorders>
            <w:shd w:val="clear" w:color="auto" w:fill="auto"/>
            <w:vAlign w:val="center"/>
          </w:tcPr>
          <w:p w14:paraId="3CD4C985" w14:textId="77777777" w:rsidR="00CA7101" w:rsidRPr="00E440BE" w:rsidRDefault="003C78CF" w:rsidP="000250B5">
            <w:pPr>
              <w:spacing w:after="0" w:line="240" w:lineRule="auto"/>
              <w:jc w:val="both"/>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Reclamación en daños por subarrendamiento ilegal. Se dictó sentencia a favor de la Administración condenando al señor René Hernández Arencibia al pago de la cantidad de $40,000.00, más interés legal sobre dicha suma desde la obligación de pago, Se condenó, además, a la parte demandada al pago de la suma de $2,000.00 por concepto de honorarios de abogado por temeridad, cantidad que se obtuvo luego de que la parte demandada solicitara reconsideración, quedando reducida de $4,000.00. Luego de trámites apelativos la Administración prevaleció y se sostuvo la Sentencia del Tribunal de Instancia. Se está en el trámite de ejecución de Sentencia como parte del cual se descubrió que el señor Hernández Arencibia falleció. Luego de una investigación, se logró citar al señor René Hernández, hijo, para una deposición, pero no compareció.</w:t>
            </w:r>
          </w:p>
        </w:tc>
      </w:tr>
      <w:tr w:rsidR="00CA7101" w:rsidRPr="003E2CFD" w14:paraId="135810E7" w14:textId="77777777" w:rsidTr="00120D21">
        <w:trPr>
          <w:trHeight w:val="1728"/>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333169" w14:textId="77777777" w:rsidR="00CA7101" w:rsidRPr="00120D21" w:rsidRDefault="00CA7101" w:rsidP="000250B5">
            <w:pPr>
              <w:spacing w:after="0" w:line="240" w:lineRule="auto"/>
              <w:jc w:val="center"/>
              <w:rPr>
                <w:rFonts w:ascii="Calibri" w:eastAsia="Times New Roman" w:hAnsi="Calibri" w:cs="Calibri"/>
                <w:kern w:val="0"/>
                <w:sz w:val="22"/>
                <w:szCs w:val="22"/>
                <w:lang w:val="en-US"/>
                <w14:ligatures w14:val="none"/>
              </w:rPr>
            </w:pPr>
            <w:r w:rsidRPr="00120D21">
              <w:rPr>
                <w:rFonts w:ascii="Calibri" w:eastAsia="Times New Roman" w:hAnsi="Calibri" w:cs="Calibri"/>
                <w:kern w:val="0"/>
                <w:sz w:val="22"/>
                <w:szCs w:val="22"/>
                <w:lang w:val="en-US"/>
                <w14:ligatures w14:val="none"/>
              </w:rPr>
              <w:lastRenderedPageBreak/>
              <w:t>AT v Osvaldo Rivera Mercado y otros</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4EFB4529" w14:textId="77777777" w:rsidR="00CA7101" w:rsidRPr="003E2CFD" w:rsidRDefault="00CA7101"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189922B1" w14:textId="77777777" w:rsidR="00CA7101" w:rsidRPr="003E2CFD" w:rsidRDefault="00CA7101" w:rsidP="000250B5">
            <w:pPr>
              <w:spacing w:after="0" w:line="240" w:lineRule="auto"/>
              <w:jc w:val="center"/>
              <w:rPr>
                <w:rFonts w:ascii="Calibri" w:eastAsia="Times New Roman" w:hAnsi="Calibri" w:cs="Calibri"/>
                <w:color w:val="000000"/>
                <w:kern w:val="0"/>
                <w:sz w:val="16"/>
                <w:szCs w:val="16"/>
                <w14:ligatures w14:val="none"/>
              </w:rPr>
            </w:pPr>
            <w:r w:rsidRPr="003E2CFD">
              <w:rPr>
                <w:rFonts w:ascii="Calibri" w:eastAsia="Times New Roman" w:hAnsi="Calibri" w:cs="Calibri"/>
                <w:color w:val="000000"/>
                <w:kern w:val="0"/>
                <w:sz w:val="16"/>
                <w:szCs w:val="16"/>
                <w14:ligatures w14:val="none"/>
              </w:rPr>
              <w:t>K EF2002-0079 (1002)</w:t>
            </w: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45D4B040" w14:textId="77777777" w:rsidR="00CA7101" w:rsidRPr="003E2CFD" w:rsidRDefault="00CA7101" w:rsidP="000250B5">
            <w:pPr>
              <w:spacing w:after="0" w:line="240" w:lineRule="auto"/>
              <w:jc w:val="center"/>
              <w:rPr>
                <w:rFonts w:ascii="Calibri" w:eastAsia="Times New Roman" w:hAnsi="Calibri" w:cs="Calibri"/>
                <w:color w:val="000000"/>
                <w:kern w:val="0"/>
                <w:sz w:val="16"/>
                <w:szCs w:val="16"/>
                <w14:ligatures w14:val="none"/>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0B7A59D3" w14:textId="77777777" w:rsidR="00CA7101" w:rsidRPr="003E2CFD" w:rsidRDefault="00CA7101"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FD4AD92" w14:textId="77777777" w:rsidR="00CA7101" w:rsidRPr="003E2CFD" w:rsidRDefault="00CA7101"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D13A38A" w14:textId="77777777" w:rsidR="00CA7101" w:rsidRPr="003E2CFD" w:rsidRDefault="00CA7101"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0575B563" w14:textId="77777777" w:rsidR="00CA7101" w:rsidRPr="003E2CFD" w:rsidRDefault="00CA7101"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0FBC38B0" w14:textId="77777777" w:rsidR="00CA7101" w:rsidRPr="00E440BE" w:rsidRDefault="00CA7101"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42D7615F" w14:textId="77777777" w:rsidR="00CA7101" w:rsidRPr="00E440BE" w:rsidRDefault="00CA7101"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5BBF6482" w14:textId="77777777" w:rsidR="00CA7101" w:rsidRPr="00E440BE" w:rsidRDefault="00CA7101" w:rsidP="000250B5">
            <w:pPr>
              <w:spacing w:after="0" w:line="240" w:lineRule="auto"/>
              <w:jc w:val="center"/>
              <w:rPr>
                <w:rFonts w:ascii="Calibri" w:eastAsia="Times New Roman" w:hAnsi="Calibri" w:cs="Calibri"/>
                <w:color w:val="000000"/>
                <w:kern w:val="0"/>
                <w:sz w:val="16"/>
                <w:szCs w:val="16"/>
                <w14:ligatures w14:val="none"/>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587FB7C0" w14:textId="77777777" w:rsidR="00CA7101" w:rsidRPr="00E440BE" w:rsidRDefault="00CA7101" w:rsidP="000250B5">
            <w:pPr>
              <w:spacing w:after="0" w:line="240" w:lineRule="auto"/>
              <w:jc w:val="center"/>
              <w:rPr>
                <w:rFonts w:ascii="Calibri" w:eastAsia="Times New Roman" w:hAnsi="Calibri" w:cs="Calibri"/>
                <w:color w:val="000000"/>
                <w:kern w:val="0"/>
                <w:sz w:val="16"/>
                <w:szCs w:val="16"/>
                <w14:ligatures w14:val="none"/>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36B92980" w14:textId="77777777" w:rsidR="00CA7101" w:rsidRPr="00E440BE" w:rsidRDefault="00CA7101"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$396,000.00</w:t>
            </w:r>
          </w:p>
        </w:tc>
        <w:tc>
          <w:tcPr>
            <w:tcW w:w="4173" w:type="dxa"/>
            <w:tcBorders>
              <w:top w:val="single" w:sz="4" w:space="0" w:color="auto"/>
              <w:left w:val="nil"/>
              <w:bottom w:val="single" w:sz="4" w:space="0" w:color="auto"/>
              <w:right w:val="single" w:sz="4" w:space="0" w:color="auto"/>
            </w:tcBorders>
            <w:shd w:val="clear" w:color="auto" w:fill="auto"/>
            <w:vAlign w:val="center"/>
          </w:tcPr>
          <w:p w14:paraId="7879EACA" w14:textId="77777777" w:rsidR="00CA7101" w:rsidRPr="00E440BE" w:rsidRDefault="003C78CF" w:rsidP="000250B5">
            <w:pPr>
              <w:spacing w:after="0" w:line="240" w:lineRule="auto"/>
              <w:jc w:val="both"/>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Ya se han dictado Sentencias Parciales en cuanto a distintas Partes con Interés que aceptaron una oferta de sentencia autorizada y extendida en representación de los intereses del Fideicomiso de Conservación. También se han dictado Sentencias Parciales por Edicto en cuanto otras Partes con Interés. Queda pendiente dictar Sentencias Parciales por Edicto en cuanto a otras partes que son miembros de sucesiones de personas que eran Partes con Interés en el caso y otras partes respecto a las cuales el Tribunal ha expresado se propone dictar sentencias por las alegaciones. El Tribunal habrá de celebrar Vista de Edicto para el año próximo, luego de lo cual estará dictando sentencias parciales respecto a las Partes con Interés restantes. Se está en espera de recibir notificación sobre la fecha de la Vista de Edicto.</w:t>
            </w:r>
          </w:p>
          <w:p w14:paraId="783138AC" w14:textId="77777777" w:rsidR="003C78CF" w:rsidRPr="00E440BE" w:rsidRDefault="003C78CF" w:rsidP="000250B5">
            <w:pPr>
              <w:spacing w:after="0" w:line="240" w:lineRule="auto"/>
              <w:jc w:val="both"/>
              <w:rPr>
                <w:rFonts w:ascii="Calibri" w:eastAsia="Times New Roman" w:hAnsi="Calibri" w:cs="Calibri"/>
                <w:color w:val="000000"/>
                <w:kern w:val="0"/>
                <w:sz w:val="16"/>
                <w:szCs w:val="16"/>
                <w14:ligatures w14:val="none"/>
              </w:rPr>
            </w:pPr>
          </w:p>
        </w:tc>
      </w:tr>
      <w:tr w:rsidR="00CA7101" w:rsidRPr="003E2CFD" w14:paraId="2DAEA8D7" w14:textId="77777777" w:rsidTr="00120D21">
        <w:trPr>
          <w:trHeight w:val="1728"/>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D2F7B" w14:textId="77777777" w:rsidR="00CA7101" w:rsidRPr="00120D21" w:rsidRDefault="00CA7101" w:rsidP="000250B5">
            <w:pPr>
              <w:spacing w:after="0" w:line="240" w:lineRule="auto"/>
              <w:jc w:val="center"/>
              <w:rPr>
                <w:rFonts w:ascii="Calibri" w:eastAsia="Times New Roman" w:hAnsi="Calibri" w:cs="Calibri"/>
                <w:kern w:val="0"/>
                <w:sz w:val="22"/>
                <w:szCs w:val="22"/>
                <w14:ligatures w14:val="none"/>
              </w:rPr>
            </w:pPr>
            <w:r w:rsidRPr="00120D21">
              <w:rPr>
                <w:rFonts w:ascii="Calibri" w:eastAsia="Times New Roman" w:hAnsi="Calibri" w:cs="Calibri"/>
                <w:kern w:val="0"/>
                <w:sz w:val="22"/>
                <w:szCs w:val="22"/>
                <w14:ligatures w14:val="none"/>
              </w:rPr>
              <w:t>AT v La Semilla de la Victoria, LLC y otros</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2763590D" w14:textId="77777777" w:rsidR="00CA7101" w:rsidRPr="003E2CFD" w:rsidRDefault="00CA7101"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295C199F" w14:textId="77777777" w:rsidR="00CA7101" w:rsidRPr="003E2CFD" w:rsidRDefault="00CA7101" w:rsidP="000250B5">
            <w:pPr>
              <w:spacing w:after="0" w:line="240" w:lineRule="auto"/>
              <w:jc w:val="center"/>
              <w:rPr>
                <w:rFonts w:ascii="Calibri" w:eastAsia="Times New Roman" w:hAnsi="Calibri" w:cs="Calibri"/>
                <w:color w:val="000000"/>
                <w:kern w:val="0"/>
                <w:sz w:val="16"/>
                <w:szCs w:val="16"/>
                <w14:ligatures w14:val="none"/>
              </w:rPr>
            </w:pPr>
            <w:r w:rsidRPr="003E2CFD">
              <w:rPr>
                <w:rFonts w:ascii="Calibri" w:eastAsia="Times New Roman" w:hAnsi="Calibri" w:cs="Calibri"/>
                <w:color w:val="000000"/>
                <w:kern w:val="0"/>
                <w:sz w:val="16"/>
                <w:szCs w:val="16"/>
                <w14:ligatures w14:val="none"/>
              </w:rPr>
              <w:t>SJ2017CV02594 (505)</w:t>
            </w: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4D4FB0B1" w14:textId="77777777" w:rsidR="00CA7101" w:rsidRPr="003E2CFD" w:rsidRDefault="00CA7101" w:rsidP="000250B5">
            <w:pPr>
              <w:spacing w:after="0" w:line="240" w:lineRule="auto"/>
              <w:jc w:val="center"/>
              <w:rPr>
                <w:rFonts w:ascii="Calibri" w:eastAsia="Times New Roman" w:hAnsi="Calibri" w:cs="Calibri"/>
                <w:color w:val="000000"/>
                <w:kern w:val="0"/>
                <w:sz w:val="16"/>
                <w:szCs w:val="16"/>
                <w14:ligatures w14:val="none"/>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053A5E88" w14:textId="77777777" w:rsidR="00CA7101" w:rsidRPr="003E2CFD" w:rsidRDefault="00CA7101"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B492DEC" w14:textId="77777777" w:rsidR="00CA7101" w:rsidRPr="003E2CFD" w:rsidRDefault="00CA7101"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1737826" w14:textId="77777777" w:rsidR="00CA7101" w:rsidRPr="003E2CFD" w:rsidRDefault="00CA7101"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35D5133C" w14:textId="77777777" w:rsidR="00CA7101" w:rsidRPr="003E2CFD" w:rsidRDefault="00CA7101"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4A4FBEEF" w14:textId="77777777" w:rsidR="00CA7101" w:rsidRPr="00E440BE" w:rsidRDefault="00CA7101"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705CC45E" w14:textId="77777777" w:rsidR="00CA7101" w:rsidRPr="00E440BE" w:rsidRDefault="00CA7101"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31E6396B" w14:textId="77777777" w:rsidR="00CA7101" w:rsidRPr="00E440BE" w:rsidRDefault="00CA7101" w:rsidP="000250B5">
            <w:pPr>
              <w:spacing w:after="0" w:line="240" w:lineRule="auto"/>
              <w:jc w:val="center"/>
              <w:rPr>
                <w:rFonts w:ascii="Calibri" w:eastAsia="Times New Roman" w:hAnsi="Calibri" w:cs="Calibri"/>
                <w:color w:val="000000"/>
                <w:kern w:val="0"/>
                <w:sz w:val="16"/>
                <w:szCs w:val="16"/>
                <w14:ligatures w14:val="none"/>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68358DAB" w14:textId="77777777" w:rsidR="00CA7101" w:rsidRPr="00E440BE" w:rsidRDefault="00CA7101" w:rsidP="000250B5">
            <w:pPr>
              <w:spacing w:after="0" w:line="240" w:lineRule="auto"/>
              <w:jc w:val="center"/>
              <w:rPr>
                <w:rFonts w:ascii="Calibri" w:eastAsia="Times New Roman" w:hAnsi="Calibri" w:cs="Calibri"/>
                <w:color w:val="000000"/>
                <w:kern w:val="0"/>
                <w:sz w:val="16"/>
                <w:szCs w:val="16"/>
                <w14:ligatures w14:val="none"/>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6988C41E" w14:textId="77777777" w:rsidR="00CA7101" w:rsidRPr="00E440BE" w:rsidRDefault="00CA7101"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$41,074.35</w:t>
            </w:r>
          </w:p>
        </w:tc>
        <w:tc>
          <w:tcPr>
            <w:tcW w:w="4173" w:type="dxa"/>
            <w:tcBorders>
              <w:top w:val="single" w:sz="4" w:space="0" w:color="auto"/>
              <w:left w:val="nil"/>
              <w:bottom w:val="single" w:sz="4" w:space="0" w:color="auto"/>
              <w:right w:val="single" w:sz="4" w:space="0" w:color="auto"/>
            </w:tcBorders>
            <w:shd w:val="clear" w:color="auto" w:fill="auto"/>
            <w:vAlign w:val="center"/>
          </w:tcPr>
          <w:p w14:paraId="3ED89B6C" w14:textId="77777777" w:rsidR="00CA7101" w:rsidRPr="00E440BE" w:rsidRDefault="003C78CF" w:rsidP="000250B5">
            <w:pPr>
              <w:spacing w:after="0" w:line="240" w:lineRule="auto"/>
              <w:jc w:val="both"/>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 xml:space="preserve">El TPI dictó sentencia sumaria a favor de la Administración de Terrenos, rasgó el velo de La Semilla de la Victoria, LLC y ordenó pagar a los demandados, de forma solidaria, la cantidad de $41,074.35 por concepto de cánones de arrendamiento adeudados, más los intereses por mora desde la fecha en que procedía el pago de las cantidades adeudadas y las costas y gastos incurridos por la Administración de Terrenos en el litigio, más la cantidad de $4,000.00 por concepto de honorarios de abogados. Mediante la misma sentencia sumaria, se decretó la desestimación de una Reconvención instada por la Demandada en la que reclamaba $16,250.000.00 por alegados daños. Las partes demandadas apelaron la decisión y el Tribunal de Apelaciones revocó la decisión del Tribunal de Instancia en lo que concierne a la responsabilidad de las personas naturales bajo la teoría de rasgar el velo para imponer responsabilidad a los individuos de forma solidaria.  </w:t>
            </w:r>
          </w:p>
          <w:p w14:paraId="16CF66FD" w14:textId="77777777" w:rsidR="003C78CF" w:rsidRPr="00E440BE" w:rsidRDefault="003C78CF" w:rsidP="000250B5">
            <w:pPr>
              <w:spacing w:after="0" w:line="240" w:lineRule="auto"/>
              <w:jc w:val="both"/>
              <w:rPr>
                <w:rFonts w:ascii="Calibri" w:eastAsia="Times New Roman" w:hAnsi="Calibri" w:cs="Calibri"/>
                <w:color w:val="000000"/>
                <w:kern w:val="0"/>
                <w:sz w:val="16"/>
                <w:szCs w:val="16"/>
                <w14:ligatures w14:val="none"/>
              </w:rPr>
            </w:pPr>
          </w:p>
        </w:tc>
      </w:tr>
      <w:tr w:rsidR="00122934" w:rsidRPr="003E2CFD" w14:paraId="33D6CDE9"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900B09" w14:textId="77777777" w:rsidR="00122934" w:rsidRPr="00120D21" w:rsidRDefault="00122934" w:rsidP="000250B5">
            <w:pPr>
              <w:spacing w:after="0" w:line="240" w:lineRule="auto"/>
              <w:jc w:val="center"/>
              <w:rPr>
                <w:rFonts w:ascii="Calibri" w:eastAsia="Times New Roman" w:hAnsi="Calibri" w:cs="Calibri"/>
                <w:kern w:val="0"/>
                <w:sz w:val="22"/>
                <w:szCs w:val="22"/>
                <w14:ligatures w14:val="none"/>
              </w:rPr>
            </w:pPr>
            <w:r w:rsidRPr="00120D21">
              <w:rPr>
                <w:rFonts w:ascii="Calibri" w:eastAsia="Times New Roman" w:hAnsi="Calibri" w:cs="Calibri"/>
                <w:kern w:val="0"/>
                <w:sz w:val="22"/>
                <w:szCs w:val="22"/>
                <w14:ligatures w14:val="none"/>
              </w:rPr>
              <w:t>AT v Corporación Pesquera Henares, Inc.</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51042452" w14:textId="77777777" w:rsidR="00122934" w:rsidRPr="003E2CFD" w:rsidRDefault="00122934"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26F245A4" w14:textId="77777777" w:rsidR="00122934" w:rsidRPr="003E2CFD" w:rsidRDefault="00122934" w:rsidP="000250B5">
            <w:pPr>
              <w:spacing w:after="0" w:line="240" w:lineRule="auto"/>
              <w:jc w:val="center"/>
              <w:rPr>
                <w:rFonts w:ascii="Calibri" w:eastAsia="Times New Roman" w:hAnsi="Calibri" w:cs="Calibri"/>
                <w:color w:val="000000"/>
                <w:kern w:val="0"/>
                <w:sz w:val="16"/>
                <w:szCs w:val="16"/>
                <w14:ligatures w14:val="none"/>
              </w:rPr>
            </w:pPr>
            <w:r w:rsidRPr="003E2CFD">
              <w:rPr>
                <w:rFonts w:ascii="Calibri" w:eastAsia="Times New Roman" w:hAnsi="Calibri" w:cs="Calibri"/>
                <w:color w:val="000000"/>
                <w:kern w:val="0"/>
                <w:sz w:val="16"/>
                <w:szCs w:val="16"/>
                <w14:ligatures w14:val="none"/>
              </w:rPr>
              <w:t>K EF2002-0050 (1002)</w:t>
            </w: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376674FA" w14:textId="77777777" w:rsidR="00122934" w:rsidRPr="003E2CFD" w:rsidRDefault="00122934" w:rsidP="000250B5">
            <w:pPr>
              <w:spacing w:after="0" w:line="240" w:lineRule="auto"/>
              <w:jc w:val="center"/>
              <w:rPr>
                <w:rFonts w:ascii="Calibri" w:eastAsia="Times New Roman" w:hAnsi="Calibri" w:cs="Calibri"/>
                <w:color w:val="000000"/>
                <w:kern w:val="0"/>
                <w:sz w:val="16"/>
                <w:szCs w:val="16"/>
                <w14:ligatures w14:val="none"/>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70A270D6" w14:textId="77777777" w:rsidR="00122934" w:rsidRPr="003E2CFD" w:rsidRDefault="00122934"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2CFAFAA" w14:textId="77777777" w:rsidR="00122934" w:rsidRPr="003E2CFD" w:rsidRDefault="00122934"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492D238" w14:textId="77777777" w:rsidR="00122934" w:rsidRPr="003E2CFD" w:rsidRDefault="00122934"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5F97706E" w14:textId="77777777" w:rsidR="00122934" w:rsidRPr="003E2CFD" w:rsidRDefault="00122934"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4FC10DBE" w14:textId="77777777" w:rsidR="00122934" w:rsidRPr="00E440BE" w:rsidRDefault="00122934"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3C390D70" w14:textId="77777777" w:rsidR="00122934" w:rsidRPr="00E440BE" w:rsidRDefault="00122934"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73C54C3D" w14:textId="77777777" w:rsidR="00122934" w:rsidRPr="00E440BE" w:rsidRDefault="00122934" w:rsidP="000250B5">
            <w:pPr>
              <w:spacing w:after="0" w:line="240" w:lineRule="auto"/>
              <w:jc w:val="center"/>
              <w:rPr>
                <w:rFonts w:ascii="Calibri" w:eastAsia="Times New Roman" w:hAnsi="Calibri" w:cs="Calibri"/>
                <w:color w:val="000000"/>
                <w:kern w:val="0"/>
                <w:sz w:val="16"/>
                <w:szCs w:val="16"/>
                <w14:ligatures w14:val="none"/>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730AB618" w14:textId="77777777" w:rsidR="00122934" w:rsidRPr="00E440BE" w:rsidRDefault="00122934" w:rsidP="000250B5">
            <w:pPr>
              <w:spacing w:after="0" w:line="240" w:lineRule="auto"/>
              <w:jc w:val="center"/>
              <w:rPr>
                <w:rFonts w:ascii="Calibri" w:eastAsia="Times New Roman" w:hAnsi="Calibri" w:cs="Calibri"/>
                <w:color w:val="000000"/>
                <w:kern w:val="0"/>
                <w:sz w:val="16"/>
                <w:szCs w:val="16"/>
                <w14:ligatures w14:val="none"/>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7CF8B32C" w14:textId="77777777" w:rsidR="00122934" w:rsidRPr="00E440BE" w:rsidRDefault="00122934"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$1,600,000.00</w:t>
            </w:r>
          </w:p>
        </w:tc>
        <w:tc>
          <w:tcPr>
            <w:tcW w:w="4173" w:type="dxa"/>
            <w:tcBorders>
              <w:top w:val="single" w:sz="4" w:space="0" w:color="auto"/>
              <w:left w:val="nil"/>
              <w:bottom w:val="single" w:sz="4" w:space="0" w:color="auto"/>
              <w:right w:val="single" w:sz="4" w:space="0" w:color="auto"/>
            </w:tcBorders>
            <w:shd w:val="clear" w:color="auto" w:fill="auto"/>
            <w:vAlign w:val="center"/>
          </w:tcPr>
          <w:p w14:paraId="6BFE93F2" w14:textId="77777777" w:rsidR="003C78CF" w:rsidRPr="00E440BE" w:rsidRDefault="003C78CF" w:rsidP="000250B5">
            <w:pPr>
              <w:spacing w:after="0" w:line="240" w:lineRule="auto"/>
              <w:jc w:val="both"/>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 xml:space="preserve">Parte con Interés solicitó al Tribunal Supremo la revisión de una Sentencia del Tribunal de Apelaciones sobre sentencia sumaria favorable a la Administración de Terrenos que desestimó la reclamación de daños al remanente. El Tribunal Supremo expidió el auto de certiorari y revocó la Sentencia </w:t>
            </w:r>
            <w:r w:rsidRPr="00E440BE">
              <w:rPr>
                <w:rFonts w:ascii="Calibri" w:eastAsia="Times New Roman" w:hAnsi="Calibri" w:cs="Calibri"/>
                <w:color w:val="000000"/>
                <w:kern w:val="0"/>
                <w:sz w:val="16"/>
                <w:szCs w:val="16"/>
                <w14:ligatures w14:val="none"/>
              </w:rPr>
              <w:lastRenderedPageBreak/>
              <w:t xml:space="preserve">desestimatoria del Tribunal de Apelaciones con instrucciones al Tribunal de Primera Instancia para que proceda a adjudicar la procedencia de la reclamación de daños y, de proceder, la cuantía en un juicio plenario. El caso se encuentra en la etapa de descubrimiento de prueba y tiene conferencia sobre el estado de los procedimientos pautada para el 11 de diciembre de 2024. </w:t>
            </w:r>
          </w:p>
          <w:p w14:paraId="207E9996" w14:textId="77777777" w:rsidR="00122934" w:rsidRPr="00E440BE" w:rsidRDefault="00122934" w:rsidP="000250B5">
            <w:pPr>
              <w:spacing w:after="0" w:line="240" w:lineRule="auto"/>
              <w:jc w:val="both"/>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 xml:space="preserve"> </w:t>
            </w:r>
          </w:p>
        </w:tc>
      </w:tr>
      <w:tr w:rsidR="00122934" w:rsidRPr="003E2CFD" w14:paraId="519778B1"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A622E2" w14:textId="77777777" w:rsidR="00122934" w:rsidRPr="00120D21" w:rsidRDefault="00122934" w:rsidP="000250B5">
            <w:pPr>
              <w:spacing w:after="0" w:line="240" w:lineRule="auto"/>
              <w:jc w:val="center"/>
              <w:rPr>
                <w:rFonts w:ascii="Calibri" w:eastAsia="Times New Roman" w:hAnsi="Calibri" w:cs="Calibri"/>
                <w:kern w:val="0"/>
                <w:sz w:val="22"/>
                <w:szCs w:val="22"/>
                <w14:ligatures w14:val="none"/>
              </w:rPr>
            </w:pPr>
            <w:r w:rsidRPr="00120D21">
              <w:rPr>
                <w:rFonts w:ascii="Calibri" w:eastAsia="Times New Roman" w:hAnsi="Calibri" w:cs="Calibri"/>
                <w:kern w:val="0"/>
                <w:sz w:val="22"/>
                <w:szCs w:val="22"/>
                <w14:ligatures w14:val="none"/>
              </w:rPr>
              <w:lastRenderedPageBreak/>
              <w:t>Autoridad de Edificios Públicos v Adela Martínez; AT</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4A951DA1" w14:textId="77777777" w:rsidR="00122934" w:rsidRPr="003E2CFD" w:rsidRDefault="00122934"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559E880C" w14:textId="77777777" w:rsidR="00122934" w:rsidRPr="003E2CFD" w:rsidRDefault="00122934" w:rsidP="000250B5">
            <w:pPr>
              <w:spacing w:after="0" w:line="240" w:lineRule="auto"/>
              <w:jc w:val="center"/>
              <w:rPr>
                <w:rFonts w:ascii="Calibri" w:eastAsia="Times New Roman" w:hAnsi="Calibri" w:cs="Calibri"/>
                <w:color w:val="000000"/>
                <w:kern w:val="0"/>
                <w:sz w:val="16"/>
                <w:szCs w:val="16"/>
                <w14:ligatures w14:val="none"/>
              </w:rPr>
            </w:pPr>
            <w:r w:rsidRPr="003E2CFD">
              <w:rPr>
                <w:rFonts w:ascii="Calibri" w:eastAsia="Times New Roman" w:hAnsi="Calibri" w:cs="Calibri"/>
                <w:color w:val="000000"/>
                <w:kern w:val="0"/>
                <w:sz w:val="16"/>
                <w:szCs w:val="16"/>
                <w14:ligatures w14:val="none"/>
              </w:rPr>
              <w:t>K EF2002-0035 (1002)</w:t>
            </w: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3DD6170A" w14:textId="77777777" w:rsidR="00122934" w:rsidRPr="003E2CFD" w:rsidRDefault="00122934" w:rsidP="000250B5">
            <w:pPr>
              <w:spacing w:after="0" w:line="240" w:lineRule="auto"/>
              <w:jc w:val="center"/>
              <w:rPr>
                <w:rFonts w:ascii="Calibri" w:eastAsia="Times New Roman" w:hAnsi="Calibri" w:cs="Calibri"/>
                <w:color w:val="000000"/>
                <w:kern w:val="0"/>
                <w:sz w:val="16"/>
                <w:szCs w:val="16"/>
                <w14:ligatures w14:val="none"/>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593EBCF0" w14:textId="77777777" w:rsidR="00122934" w:rsidRPr="003E2CFD" w:rsidRDefault="00122934"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6E32904" w14:textId="77777777" w:rsidR="00122934" w:rsidRPr="003E2CFD" w:rsidRDefault="00122934"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3A95285" w14:textId="77777777" w:rsidR="00122934" w:rsidRPr="003E2CFD" w:rsidRDefault="00122934"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71CFB0E0" w14:textId="77777777" w:rsidR="00122934" w:rsidRPr="003E2CFD" w:rsidRDefault="00122934"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47C1652E" w14:textId="77777777" w:rsidR="00122934" w:rsidRPr="00E440BE" w:rsidRDefault="00122934"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61536D73" w14:textId="77777777" w:rsidR="00122934" w:rsidRPr="00E440BE" w:rsidRDefault="00122934"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589AC984" w14:textId="77777777" w:rsidR="00122934" w:rsidRPr="00E440BE" w:rsidRDefault="00122934" w:rsidP="000250B5">
            <w:pPr>
              <w:spacing w:after="0" w:line="240" w:lineRule="auto"/>
              <w:jc w:val="center"/>
              <w:rPr>
                <w:rFonts w:ascii="Calibri" w:eastAsia="Times New Roman" w:hAnsi="Calibri" w:cs="Calibri"/>
                <w:color w:val="000000"/>
                <w:kern w:val="0"/>
                <w:sz w:val="16"/>
                <w:szCs w:val="16"/>
                <w14:ligatures w14:val="none"/>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4531A6A4" w14:textId="77777777" w:rsidR="00122934" w:rsidRPr="00E440BE" w:rsidRDefault="00122934" w:rsidP="000250B5">
            <w:pPr>
              <w:spacing w:after="0" w:line="240" w:lineRule="auto"/>
              <w:jc w:val="center"/>
              <w:rPr>
                <w:rFonts w:ascii="Calibri" w:eastAsia="Times New Roman" w:hAnsi="Calibri" w:cs="Calibri"/>
                <w:color w:val="000000"/>
                <w:kern w:val="0"/>
                <w:sz w:val="16"/>
                <w:szCs w:val="16"/>
                <w14:ligatures w14:val="none"/>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1CD2CBAE" w14:textId="77777777" w:rsidR="00122934" w:rsidRPr="00E440BE" w:rsidRDefault="00122934"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$403,615.00</w:t>
            </w:r>
          </w:p>
        </w:tc>
        <w:tc>
          <w:tcPr>
            <w:tcW w:w="4173" w:type="dxa"/>
            <w:tcBorders>
              <w:top w:val="single" w:sz="4" w:space="0" w:color="auto"/>
              <w:left w:val="nil"/>
              <w:bottom w:val="single" w:sz="4" w:space="0" w:color="auto"/>
              <w:right w:val="single" w:sz="4" w:space="0" w:color="auto"/>
            </w:tcBorders>
            <w:shd w:val="clear" w:color="auto" w:fill="auto"/>
          </w:tcPr>
          <w:p w14:paraId="5DDC8D7A" w14:textId="77777777" w:rsidR="00122934" w:rsidRPr="00E440BE" w:rsidRDefault="003C78CF" w:rsidP="000250B5">
            <w:pPr>
              <w:spacing w:after="0" w:line="240" w:lineRule="auto"/>
              <w:jc w:val="both"/>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El caso se paralizó mediante Sentencia porque, al ser la Autoridad de Edificios Públicos la parte peticionaria, se aplicó el Stay del caso de quiebra pendiente (Título III). No se ha reactivado formalmente. La Administración de Terrenos es Parte con Interés, por lo que no tiene que desembolsar cantidad alguna.</w:t>
            </w:r>
          </w:p>
          <w:p w14:paraId="712C7528" w14:textId="77777777" w:rsidR="003C78CF" w:rsidRPr="00E440BE" w:rsidRDefault="003C78CF" w:rsidP="000250B5">
            <w:pPr>
              <w:spacing w:after="0" w:line="240" w:lineRule="auto"/>
              <w:jc w:val="both"/>
              <w:rPr>
                <w:rFonts w:ascii="Calibri" w:eastAsia="Times New Roman" w:hAnsi="Calibri" w:cs="Calibri"/>
                <w:color w:val="000000"/>
                <w:kern w:val="0"/>
                <w:sz w:val="16"/>
                <w:szCs w:val="16"/>
                <w14:ligatures w14:val="none"/>
              </w:rPr>
            </w:pPr>
          </w:p>
        </w:tc>
      </w:tr>
      <w:tr w:rsidR="00122934" w:rsidRPr="003E2CFD" w14:paraId="25BF9CF2"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FDED33" w14:textId="77777777" w:rsidR="00122934" w:rsidRPr="00120D21" w:rsidRDefault="00122934" w:rsidP="000250B5">
            <w:pPr>
              <w:spacing w:after="0" w:line="240" w:lineRule="auto"/>
              <w:jc w:val="center"/>
              <w:rPr>
                <w:rFonts w:ascii="Calibri" w:eastAsia="Times New Roman" w:hAnsi="Calibri" w:cs="Calibri"/>
                <w:kern w:val="0"/>
                <w:sz w:val="22"/>
                <w:szCs w:val="22"/>
                <w14:ligatures w14:val="none"/>
              </w:rPr>
            </w:pPr>
            <w:r w:rsidRPr="00120D21">
              <w:rPr>
                <w:rFonts w:ascii="Calibri" w:eastAsia="Times New Roman" w:hAnsi="Calibri" w:cs="Calibri"/>
                <w:kern w:val="0"/>
                <w:sz w:val="22"/>
                <w:szCs w:val="22"/>
                <w14:ligatures w14:val="none"/>
              </w:rPr>
              <w:t>AT v WMS Corporation</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3A81A1A2" w14:textId="77777777" w:rsidR="00122934" w:rsidRPr="003E2CFD" w:rsidRDefault="00122934"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1A22911B" w14:textId="77777777" w:rsidR="00122934" w:rsidRPr="003E2CFD" w:rsidRDefault="00122934" w:rsidP="000250B5">
            <w:pPr>
              <w:spacing w:after="0" w:line="240" w:lineRule="auto"/>
              <w:jc w:val="center"/>
              <w:rPr>
                <w:rFonts w:ascii="Calibri" w:eastAsia="Times New Roman" w:hAnsi="Calibri" w:cs="Calibri"/>
                <w:color w:val="000000"/>
                <w:kern w:val="0"/>
                <w:sz w:val="16"/>
                <w:szCs w:val="16"/>
                <w14:ligatures w14:val="none"/>
              </w:rPr>
            </w:pPr>
            <w:r w:rsidRPr="003E2CFD">
              <w:rPr>
                <w:rFonts w:ascii="Calibri" w:eastAsia="Times New Roman" w:hAnsi="Calibri" w:cs="Calibri"/>
                <w:color w:val="000000"/>
                <w:kern w:val="0"/>
                <w:sz w:val="16"/>
                <w:szCs w:val="16"/>
                <w14:ligatures w14:val="none"/>
              </w:rPr>
              <w:t>K EF2005-0653 (1002)</w:t>
            </w: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3B2576B3" w14:textId="77777777" w:rsidR="00122934" w:rsidRPr="003E2CFD" w:rsidRDefault="00122934" w:rsidP="000250B5">
            <w:pPr>
              <w:spacing w:after="0" w:line="240" w:lineRule="auto"/>
              <w:jc w:val="center"/>
              <w:rPr>
                <w:rFonts w:ascii="Calibri" w:eastAsia="Times New Roman" w:hAnsi="Calibri" w:cs="Calibri"/>
                <w:color w:val="000000"/>
                <w:kern w:val="0"/>
                <w:sz w:val="16"/>
                <w:szCs w:val="16"/>
                <w14:ligatures w14:val="none"/>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27478C38" w14:textId="77777777" w:rsidR="00122934" w:rsidRPr="003E2CFD" w:rsidRDefault="00122934"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EDAF5FD" w14:textId="77777777" w:rsidR="00122934" w:rsidRPr="003E2CFD" w:rsidRDefault="00122934"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11BED36" w14:textId="77777777" w:rsidR="00122934" w:rsidRPr="003E2CFD" w:rsidRDefault="00122934"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176805AA" w14:textId="77777777" w:rsidR="00122934" w:rsidRPr="003E2CFD" w:rsidRDefault="00122934"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0CAE0475" w14:textId="77777777" w:rsidR="00122934" w:rsidRPr="00E440BE" w:rsidRDefault="00122934"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0AEDAABD" w14:textId="77777777" w:rsidR="00122934" w:rsidRPr="00E440BE" w:rsidRDefault="00122934"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5ABBCAE8" w14:textId="77777777" w:rsidR="00122934" w:rsidRPr="00E440BE" w:rsidRDefault="00122934" w:rsidP="000250B5">
            <w:pPr>
              <w:spacing w:after="0" w:line="240" w:lineRule="auto"/>
              <w:jc w:val="center"/>
              <w:rPr>
                <w:rFonts w:ascii="Calibri" w:eastAsia="Times New Roman" w:hAnsi="Calibri" w:cs="Calibri"/>
                <w:color w:val="000000"/>
                <w:kern w:val="0"/>
                <w:sz w:val="16"/>
                <w:szCs w:val="16"/>
                <w14:ligatures w14:val="none"/>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71641399" w14:textId="77777777" w:rsidR="00122934" w:rsidRPr="00E440BE" w:rsidRDefault="00122934" w:rsidP="000250B5">
            <w:pPr>
              <w:spacing w:after="0" w:line="240" w:lineRule="auto"/>
              <w:jc w:val="center"/>
              <w:rPr>
                <w:rFonts w:ascii="Calibri" w:eastAsia="Times New Roman" w:hAnsi="Calibri" w:cs="Calibri"/>
                <w:color w:val="000000"/>
                <w:kern w:val="0"/>
                <w:sz w:val="16"/>
                <w:szCs w:val="16"/>
                <w14:ligatures w14:val="none"/>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2750D550" w14:textId="77777777" w:rsidR="00122934" w:rsidRPr="00E440BE" w:rsidRDefault="00122934"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$7,480,000.00</w:t>
            </w:r>
          </w:p>
        </w:tc>
        <w:tc>
          <w:tcPr>
            <w:tcW w:w="4173" w:type="dxa"/>
            <w:tcBorders>
              <w:top w:val="single" w:sz="4" w:space="0" w:color="auto"/>
              <w:left w:val="nil"/>
              <w:bottom w:val="single" w:sz="4" w:space="0" w:color="auto"/>
              <w:right w:val="single" w:sz="4" w:space="0" w:color="auto"/>
            </w:tcBorders>
            <w:shd w:val="clear" w:color="auto" w:fill="auto"/>
          </w:tcPr>
          <w:p w14:paraId="631413C9" w14:textId="77777777" w:rsidR="00122934" w:rsidRPr="00E440BE" w:rsidRDefault="003C78CF" w:rsidP="000250B5">
            <w:pPr>
              <w:spacing w:after="0" w:line="240" w:lineRule="auto"/>
              <w:jc w:val="both"/>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Expropiación forzosa a favor del Puerto de las Américas. El caso estuvo señalado para juicio en su fondo el mes de abril de 2024, pero se llevaron esfuerzos transaccionales entre las Partes y se espera por las aprobaciones formales requeridas por ley para la transacción. Dado al tiempo transcurrido sin que se concrete formalmente la transacción, el Tribunal</w:t>
            </w:r>
            <w:r w:rsidR="005C4726">
              <w:rPr>
                <w:rFonts w:ascii="Calibri" w:eastAsia="Times New Roman" w:hAnsi="Calibri" w:cs="Calibri"/>
                <w:color w:val="000000"/>
                <w:kern w:val="0"/>
                <w:sz w:val="16"/>
                <w:szCs w:val="16"/>
                <w14:ligatures w14:val="none"/>
              </w:rPr>
              <w:t xml:space="preserve"> celebró </w:t>
            </w:r>
            <w:r w:rsidRPr="00E440BE">
              <w:rPr>
                <w:rFonts w:ascii="Calibri" w:eastAsia="Times New Roman" w:hAnsi="Calibri" w:cs="Calibri"/>
                <w:color w:val="000000"/>
                <w:kern w:val="0"/>
                <w:sz w:val="16"/>
                <w:szCs w:val="16"/>
                <w14:ligatures w14:val="none"/>
              </w:rPr>
              <w:t>Vista sobre el Estado de los Procedimientos el 10 de octubre de 2024</w:t>
            </w:r>
            <w:r w:rsidR="005C4726">
              <w:rPr>
                <w:rFonts w:ascii="Calibri" w:eastAsia="Times New Roman" w:hAnsi="Calibri" w:cs="Calibri"/>
                <w:color w:val="000000"/>
                <w:kern w:val="0"/>
                <w:sz w:val="16"/>
                <w:szCs w:val="16"/>
                <w14:ligatures w14:val="none"/>
              </w:rPr>
              <w:t xml:space="preserve"> y señaló Vista de Seguimiento para el mes de diciembre de 2024</w:t>
            </w:r>
            <w:r w:rsidRPr="00E440BE">
              <w:rPr>
                <w:rFonts w:ascii="Calibri" w:eastAsia="Times New Roman" w:hAnsi="Calibri" w:cs="Calibri"/>
                <w:color w:val="000000"/>
                <w:kern w:val="0"/>
                <w:sz w:val="16"/>
                <w:szCs w:val="16"/>
                <w14:ligatures w14:val="none"/>
              </w:rPr>
              <w:t>. La continuación del caso depende del resultado de los trámites relacionados con la transacción.</w:t>
            </w:r>
          </w:p>
          <w:p w14:paraId="1447E8EE" w14:textId="77777777" w:rsidR="00122934" w:rsidRPr="00E440BE" w:rsidRDefault="00122934" w:rsidP="000250B5">
            <w:pPr>
              <w:spacing w:after="0" w:line="240" w:lineRule="auto"/>
              <w:jc w:val="both"/>
              <w:rPr>
                <w:rFonts w:ascii="Calibri" w:eastAsia="Times New Roman" w:hAnsi="Calibri" w:cs="Calibri"/>
                <w:color w:val="000000"/>
                <w:kern w:val="0"/>
                <w:sz w:val="16"/>
                <w:szCs w:val="16"/>
                <w14:ligatures w14:val="none"/>
              </w:rPr>
            </w:pPr>
          </w:p>
        </w:tc>
      </w:tr>
      <w:tr w:rsidR="00122934" w:rsidRPr="003E2CFD" w14:paraId="5349F381"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F4C961" w14:textId="77777777" w:rsidR="00122934" w:rsidRPr="00120D21" w:rsidRDefault="00122934" w:rsidP="000250B5">
            <w:pPr>
              <w:spacing w:after="0" w:line="240" w:lineRule="auto"/>
              <w:jc w:val="center"/>
              <w:rPr>
                <w:rFonts w:ascii="Calibri" w:eastAsia="Times New Roman" w:hAnsi="Calibri" w:cs="Calibri"/>
                <w:kern w:val="0"/>
                <w:sz w:val="22"/>
                <w:szCs w:val="22"/>
                <w:lang w:val="en-US"/>
                <w14:ligatures w14:val="none"/>
              </w:rPr>
            </w:pPr>
            <w:r w:rsidRPr="00120D21">
              <w:rPr>
                <w:rFonts w:ascii="Calibri" w:eastAsia="Times New Roman" w:hAnsi="Calibri" w:cs="Calibri"/>
                <w:kern w:val="0"/>
                <w:sz w:val="22"/>
                <w:szCs w:val="22"/>
                <w:lang w:val="en-US"/>
                <w14:ligatures w14:val="none"/>
              </w:rPr>
              <w:t>AT v Ponce Bay Land Enterprises, Inc.</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43DE636F" w14:textId="77777777" w:rsidR="00122934" w:rsidRPr="00F13E8E" w:rsidRDefault="00122934" w:rsidP="000250B5">
            <w:pPr>
              <w:spacing w:after="0" w:line="240" w:lineRule="auto"/>
              <w:jc w:val="center"/>
              <w:rPr>
                <w:rFonts w:ascii="Calibri" w:eastAsia="Times New Roman" w:hAnsi="Calibri" w:cs="Calibri"/>
                <w:color w:val="000000"/>
                <w:kern w:val="0"/>
                <w:sz w:val="16"/>
                <w:szCs w:val="16"/>
                <w:lang w:val="en-US"/>
                <w14:ligatures w14:val="none"/>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459960F5" w14:textId="77777777" w:rsidR="00122934" w:rsidRPr="003E2CFD" w:rsidRDefault="00122934" w:rsidP="000250B5">
            <w:pPr>
              <w:spacing w:after="0" w:line="240" w:lineRule="auto"/>
              <w:jc w:val="center"/>
              <w:rPr>
                <w:rFonts w:ascii="Calibri" w:eastAsia="Times New Roman" w:hAnsi="Calibri" w:cs="Calibri"/>
                <w:color w:val="000000"/>
                <w:kern w:val="0"/>
                <w:sz w:val="16"/>
                <w:szCs w:val="16"/>
                <w14:ligatures w14:val="none"/>
              </w:rPr>
            </w:pPr>
            <w:r w:rsidRPr="003E2CFD">
              <w:rPr>
                <w:rFonts w:ascii="Calibri" w:eastAsia="Times New Roman" w:hAnsi="Calibri" w:cs="Calibri"/>
                <w:color w:val="000000"/>
                <w:kern w:val="0"/>
                <w:sz w:val="16"/>
                <w:szCs w:val="16"/>
                <w14:ligatures w14:val="none"/>
              </w:rPr>
              <w:t>K EF2006-00601 (1002)</w:t>
            </w: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2829635C" w14:textId="77777777" w:rsidR="00122934" w:rsidRPr="003E2CFD" w:rsidRDefault="00122934" w:rsidP="000250B5">
            <w:pPr>
              <w:spacing w:after="0" w:line="240" w:lineRule="auto"/>
              <w:jc w:val="center"/>
              <w:rPr>
                <w:rFonts w:ascii="Calibri" w:eastAsia="Times New Roman" w:hAnsi="Calibri" w:cs="Calibri"/>
                <w:color w:val="000000"/>
                <w:kern w:val="0"/>
                <w:sz w:val="16"/>
                <w:szCs w:val="16"/>
                <w14:ligatures w14:val="none"/>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56D5776B" w14:textId="77777777" w:rsidR="00122934" w:rsidRPr="003E2CFD" w:rsidRDefault="00122934"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6532A26" w14:textId="77777777" w:rsidR="00122934" w:rsidRPr="003E2CFD" w:rsidRDefault="00122934"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F84CB52" w14:textId="77777777" w:rsidR="00122934" w:rsidRPr="003E2CFD" w:rsidRDefault="00122934"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3478E8A0" w14:textId="77777777" w:rsidR="00122934" w:rsidRPr="003E2CFD" w:rsidRDefault="00122934"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1D8101D1" w14:textId="77777777" w:rsidR="00122934" w:rsidRPr="00E440BE" w:rsidRDefault="00122934"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792F7189" w14:textId="77777777" w:rsidR="00122934" w:rsidRPr="00E440BE" w:rsidRDefault="00122934"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2C2380F8" w14:textId="77777777" w:rsidR="00122934" w:rsidRPr="00E440BE" w:rsidRDefault="00122934" w:rsidP="000250B5">
            <w:pPr>
              <w:spacing w:after="0" w:line="240" w:lineRule="auto"/>
              <w:jc w:val="center"/>
              <w:rPr>
                <w:rFonts w:ascii="Calibri" w:eastAsia="Times New Roman" w:hAnsi="Calibri" w:cs="Calibri"/>
                <w:color w:val="000000"/>
                <w:kern w:val="0"/>
                <w:sz w:val="16"/>
                <w:szCs w:val="16"/>
                <w14:ligatures w14:val="none"/>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691768A8" w14:textId="77777777" w:rsidR="00122934" w:rsidRPr="00E440BE" w:rsidRDefault="00122934" w:rsidP="000250B5">
            <w:pPr>
              <w:spacing w:after="0" w:line="240" w:lineRule="auto"/>
              <w:jc w:val="center"/>
              <w:rPr>
                <w:rFonts w:ascii="Calibri" w:eastAsia="Times New Roman" w:hAnsi="Calibri" w:cs="Calibri"/>
                <w:color w:val="000000"/>
                <w:kern w:val="0"/>
                <w:sz w:val="16"/>
                <w:szCs w:val="16"/>
                <w14:ligatures w14:val="none"/>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4216E892" w14:textId="77777777" w:rsidR="00122934" w:rsidRPr="00E440BE" w:rsidRDefault="00122934"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$9,000,000.00</w:t>
            </w:r>
          </w:p>
        </w:tc>
        <w:tc>
          <w:tcPr>
            <w:tcW w:w="4173" w:type="dxa"/>
            <w:tcBorders>
              <w:top w:val="single" w:sz="4" w:space="0" w:color="auto"/>
              <w:left w:val="nil"/>
              <w:bottom w:val="single" w:sz="4" w:space="0" w:color="auto"/>
              <w:right w:val="single" w:sz="4" w:space="0" w:color="auto"/>
            </w:tcBorders>
            <w:shd w:val="clear" w:color="auto" w:fill="auto"/>
          </w:tcPr>
          <w:p w14:paraId="03E50654" w14:textId="77777777" w:rsidR="00122934" w:rsidRPr="00E440BE" w:rsidRDefault="0068014A" w:rsidP="000250B5">
            <w:pPr>
              <w:spacing w:after="0" w:line="240" w:lineRule="auto"/>
              <w:jc w:val="both"/>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Expropiación forzosa a favor del Puerto de las Américas. Están pendientes varias controversias, incluyendo un reclamo sobre la cabida del sujeto expropiado. Queda por dilucidar en juicio plenario la controversia entre las partes respecto al mejor uso y la valoración del sujeto. No tiene señalamiento de Juicio.</w:t>
            </w:r>
          </w:p>
          <w:p w14:paraId="04307D77" w14:textId="77777777" w:rsidR="0068014A" w:rsidRPr="00E440BE" w:rsidRDefault="0068014A" w:rsidP="000250B5">
            <w:pPr>
              <w:spacing w:after="0" w:line="240" w:lineRule="auto"/>
              <w:jc w:val="both"/>
              <w:rPr>
                <w:rFonts w:ascii="Calibri" w:eastAsia="Times New Roman" w:hAnsi="Calibri" w:cs="Calibri"/>
                <w:color w:val="000000"/>
                <w:kern w:val="0"/>
                <w:sz w:val="16"/>
                <w:szCs w:val="16"/>
                <w14:ligatures w14:val="none"/>
              </w:rPr>
            </w:pPr>
          </w:p>
        </w:tc>
      </w:tr>
      <w:tr w:rsidR="00122934" w:rsidRPr="003E2CFD" w14:paraId="7ABA0738"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0F7B52" w14:textId="77777777" w:rsidR="00122934" w:rsidRPr="00120D21" w:rsidRDefault="00122934" w:rsidP="000250B5">
            <w:pPr>
              <w:spacing w:after="0" w:line="240" w:lineRule="auto"/>
              <w:jc w:val="center"/>
              <w:rPr>
                <w:rFonts w:ascii="Calibri" w:eastAsia="Times New Roman" w:hAnsi="Calibri" w:cs="Calibri"/>
                <w:kern w:val="0"/>
                <w:sz w:val="22"/>
                <w:szCs w:val="22"/>
                <w:lang w:val="en-US"/>
                <w14:ligatures w14:val="none"/>
              </w:rPr>
            </w:pPr>
            <w:r w:rsidRPr="00120D21">
              <w:rPr>
                <w:rFonts w:ascii="Calibri" w:eastAsia="Times New Roman" w:hAnsi="Calibri" w:cs="Calibri"/>
                <w:kern w:val="0"/>
                <w:sz w:val="22"/>
                <w:szCs w:val="22"/>
                <w:lang w:val="en-US"/>
                <w14:ligatures w14:val="none"/>
              </w:rPr>
              <w:t>AT v. René Hernández Degross</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07FAE25E" w14:textId="77777777" w:rsidR="00122934" w:rsidRPr="00F13E8E" w:rsidRDefault="00122934" w:rsidP="000250B5">
            <w:pPr>
              <w:spacing w:after="0" w:line="240" w:lineRule="auto"/>
              <w:jc w:val="center"/>
              <w:rPr>
                <w:rFonts w:ascii="Calibri" w:eastAsia="Times New Roman" w:hAnsi="Calibri" w:cs="Calibri"/>
                <w:color w:val="000000"/>
                <w:kern w:val="0"/>
                <w:sz w:val="16"/>
                <w:szCs w:val="16"/>
                <w:lang w:val="en-US"/>
                <w14:ligatures w14:val="none"/>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3ECAE101" w14:textId="77777777" w:rsidR="00122934" w:rsidRPr="003E2CFD" w:rsidRDefault="00122934" w:rsidP="000250B5">
            <w:pPr>
              <w:spacing w:after="0" w:line="240" w:lineRule="auto"/>
              <w:jc w:val="center"/>
              <w:rPr>
                <w:rFonts w:ascii="Calibri" w:eastAsia="Times New Roman" w:hAnsi="Calibri" w:cs="Calibri"/>
                <w:color w:val="000000"/>
                <w:kern w:val="0"/>
                <w:sz w:val="16"/>
                <w:szCs w:val="16"/>
                <w14:ligatures w14:val="none"/>
              </w:rPr>
            </w:pPr>
            <w:r w:rsidRPr="003E2CFD">
              <w:rPr>
                <w:rFonts w:ascii="Calibri" w:eastAsia="Times New Roman" w:hAnsi="Calibri" w:cs="Calibri"/>
                <w:color w:val="000000"/>
                <w:kern w:val="0"/>
                <w:sz w:val="16"/>
                <w:szCs w:val="16"/>
                <w14:ligatures w14:val="none"/>
              </w:rPr>
              <w:t>N2CI2017-00065</w:t>
            </w: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0826A754" w14:textId="77777777" w:rsidR="00122934" w:rsidRPr="003E2CFD" w:rsidRDefault="00122934" w:rsidP="000250B5">
            <w:pPr>
              <w:spacing w:after="0" w:line="240" w:lineRule="auto"/>
              <w:jc w:val="center"/>
              <w:rPr>
                <w:rFonts w:ascii="Calibri" w:eastAsia="Times New Roman" w:hAnsi="Calibri" w:cs="Calibri"/>
                <w:color w:val="000000"/>
                <w:kern w:val="0"/>
                <w:sz w:val="16"/>
                <w:szCs w:val="16"/>
                <w14:ligatures w14:val="none"/>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4DEDEB53" w14:textId="77777777" w:rsidR="00122934" w:rsidRPr="003E2CFD" w:rsidRDefault="00122934"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B69B6A1" w14:textId="77777777" w:rsidR="00122934" w:rsidRPr="003E2CFD" w:rsidRDefault="00122934"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1901268" w14:textId="77777777" w:rsidR="00122934" w:rsidRPr="003E2CFD" w:rsidRDefault="00122934"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6F1F0A67" w14:textId="77777777" w:rsidR="00122934" w:rsidRPr="003E2CFD" w:rsidRDefault="00122934"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14DEFD78" w14:textId="77777777" w:rsidR="00122934" w:rsidRPr="00E440BE" w:rsidRDefault="00122934"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49AE9539" w14:textId="77777777" w:rsidR="00122934" w:rsidRPr="00E440BE" w:rsidRDefault="00122934"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499F8120" w14:textId="77777777" w:rsidR="00122934" w:rsidRPr="00E440BE" w:rsidRDefault="00122934" w:rsidP="000250B5">
            <w:pPr>
              <w:spacing w:after="0" w:line="240" w:lineRule="auto"/>
              <w:jc w:val="center"/>
              <w:rPr>
                <w:rFonts w:ascii="Calibri" w:eastAsia="Times New Roman" w:hAnsi="Calibri" w:cs="Calibri"/>
                <w:color w:val="000000"/>
                <w:kern w:val="0"/>
                <w:sz w:val="16"/>
                <w:szCs w:val="16"/>
                <w14:ligatures w14:val="none"/>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0729852A" w14:textId="77777777" w:rsidR="00122934" w:rsidRPr="00E440BE" w:rsidRDefault="00122934" w:rsidP="000250B5">
            <w:pPr>
              <w:spacing w:after="0" w:line="240" w:lineRule="auto"/>
              <w:jc w:val="center"/>
              <w:rPr>
                <w:rFonts w:ascii="Calibri" w:eastAsia="Times New Roman" w:hAnsi="Calibri" w:cs="Calibri"/>
                <w:color w:val="000000"/>
                <w:kern w:val="0"/>
                <w:sz w:val="16"/>
                <w:szCs w:val="16"/>
                <w14:ligatures w14:val="none"/>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5EE65C3F" w14:textId="77777777" w:rsidR="00122934" w:rsidRPr="00E440BE" w:rsidRDefault="00122934"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$447,792.05</w:t>
            </w:r>
          </w:p>
        </w:tc>
        <w:tc>
          <w:tcPr>
            <w:tcW w:w="4173" w:type="dxa"/>
            <w:tcBorders>
              <w:top w:val="single" w:sz="4" w:space="0" w:color="auto"/>
              <w:left w:val="nil"/>
              <w:bottom w:val="single" w:sz="4" w:space="0" w:color="auto"/>
              <w:right w:val="single" w:sz="4" w:space="0" w:color="auto"/>
            </w:tcBorders>
            <w:shd w:val="clear" w:color="auto" w:fill="auto"/>
          </w:tcPr>
          <w:p w14:paraId="466DBB5F" w14:textId="77777777" w:rsidR="00122934" w:rsidRPr="00E440BE" w:rsidRDefault="00EF144F" w:rsidP="000250B5">
            <w:pPr>
              <w:spacing w:after="0" w:line="240" w:lineRule="auto"/>
              <w:jc w:val="both"/>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Caso de Daños y Perjuicios- Transcurridos varios años, como resultado de un trámite apelativo, se revirtieron los dictámenes previos y se le concedió a la parte demandada la oportunidad de presentar alegaciones. Se está en espera de recibir las alegaciones autorizadas a la parte demandada.</w:t>
            </w:r>
          </w:p>
        </w:tc>
      </w:tr>
      <w:tr w:rsidR="00122934" w:rsidRPr="003E2CFD" w14:paraId="77E672F0"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B3FC22" w14:textId="77777777" w:rsidR="00122934" w:rsidRPr="00120D21" w:rsidRDefault="00122934" w:rsidP="000250B5">
            <w:pPr>
              <w:spacing w:after="0" w:line="240" w:lineRule="auto"/>
              <w:jc w:val="center"/>
              <w:rPr>
                <w:rFonts w:ascii="Calibri" w:eastAsia="Times New Roman" w:hAnsi="Calibri" w:cs="Calibri"/>
                <w:kern w:val="0"/>
                <w:sz w:val="22"/>
                <w:szCs w:val="22"/>
                <w:lang w:val="en-US"/>
                <w14:ligatures w14:val="none"/>
              </w:rPr>
            </w:pPr>
            <w:r w:rsidRPr="00120D21">
              <w:rPr>
                <w:rFonts w:ascii="Calibri" w:eastAsia="Times New Roman" w:hAnsi="Calibri" w:cs="Calibri"/>
                <w:kern w:val="0"/>
                <w:sz w:val="22"/>
                <w:szCs w:val="22"/>
                <w:lang w:val="en-US"/>
                <w14:ligatures w14:val="none"/>
              </w:rPr>
              <w:lastRenderedPageBreak/>
              <w:t>AT v. René Hernández Degross</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0CDC89E2" w14:textId="77777777" w:rsidR="00122934" w:rsidRPr="00F13E8E" w:rsidRDefault="00122934" w:rsidP="000250B5">
            <w:pPr>
              <w:spacing w:after="0" w:line="240" w:lineRule="auto"/>
              <w:jc w:val="center"/>
              <w:rPr>
                <w:rFonts w:ascii="Calibri" w:eastAsia="Times New Roman" w:hAnsi="Calibri" w:cs="Calibri"/>
                <w:color w:val="000000"/>
                <w:kern w:val="0"/>
                <w:sz w:val="16"/>
                <w:szCs w:val="16"/>
                <w:lang w:val="en-US"/>
                <w14:ligatures w14:val="none"/>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03A25B4D" w14:textId="77777777" w:rsidR="00122934" w:rsidRPr="003E2CFD" w:rsidRDefault="00122934" w:rsidP="000250B5">
            <w:pPr>
              <w:spacing w:after="0" w:line="240" w:lineRule="auto"/>
              <w:jc w:val="center"/>
              <w:rPr>
                <w:rFonts w:ascii="Calibri" w:eastAsia="Times New Roman" w:hAnsi="Calibri" w:cs="Calibri"/>
                <w:color w:val="000000"/>
                <w:kern w:val="0"/>
                <w:sz w:val="16"/>
                <w:szCs w:val="16"/>
                <w14:ligatures w14:val="none"/>
              </w:rPr>
            </w:pPr>
            <w:r w:rsidRPr="003E2CFD">
              <w:rPr>
                <w:rFonts w:ascii="Calibri" w:eastAsia="Times New Roman" w:hAnsi="Calibri" w:cs="Calibri"/>
                <w:color w:val="000000"/>
                <w:kern w:val="0"/>
                <w:sz w:val="16"/>
                <w:szCs w:val="16"/>
                <w14:ligatures w14:val="none"/>
              </w:rPr>
              <w:t>N2CI2017-00046</w:t>
            </w: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0695554B" w14:textId="77777777" w:rsidR="00122934" w:rsidRPr="003E2CFD" w:rsidRDefault="00122934" w:rsidP="000250B5">
            <w:pPr>
              <w:spacing w:after="0" w:line="240" w:lineRule="auto"/>
              <w:jc w:val="center"/>
              <w:rPr>
                <w:rFonts w:ascii="Calibri" w:eastAsia="Times New Roman" w:hAnsi="Calibri" w:cs="Calibri"/>
                <w:color w:val="000000"/>
                <w:kern w:val="0"/>
                <w:sz w:val="16"/>
                <w:szCs w:val="16"/>
                <w14:ligatures w14:val="none"/>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29F5DA31" w14:textId="77777777" w:rsidR="00122934" w:rsidRPr="003E2CFD" w:rsidRDefault="00122934"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7C04944" w14:textId="77777777" w:rsidR="00122934" w:rsidRPr="003E2CFD" w:rsidRDefault="00122934"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6C789C7" w14:textId="77777777" w:rsidR="00122934" w:rsidRPr="003E2CFD" w:rsidRDefault="00122934"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2FFD4321" w14:textId="77777777" w:rsidR="00122934" w:rsidRPr="003E2CFD" w:rsidRDefault="00122934"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2205066E" w14:textId="77777777" w:rsidR="00122934" w:rsidRPr="00E440BE" w:rsidRDefault="00122934"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35D481B4" w14:textId="77777777" w:rsidR="00122934" w:rsidRPr="00E440BE" w:rsidRDefault="00122934"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3480A4C4" w14:textId="77777777" w:rsidR="00122934" w:rsidRPr="00E440BE" w:rsidRDefault="00122934" w:rsidP="000250B5">
            <w:pPr>
              <w:spacing w:after="0" w:line="240" w:lineRule="auto"/>
              <w:jc w:val="center"/>
              <w:rPr>
                <w:rFonts w:ascii="Calibri" w:eastAsia="Times New Roman" w:hAnsi="Calibri" w:cs="Calibri"/>
                <w:color w:val="000000"/>
                <w:kern w:val="0"/>
                <w:sz w:val="16"/>
                <w:szCs w:val="16"/>
                <w14:ligatures w14:val="none"/>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463DCCE4" w14:textId="77777777" w:rsidR="00122934" w:rsidRPr="00E440BE" w:rsidRDefault="00122934" w:rsidP="000250B5">
            <w:pPr>
              <w:spacing w:after="0" w:line="240" w:lineRule="auto"/>
              <w:jc w:val="center"/>
              <w:rPr>
                <w:rFonts w:ascii="Calibri" w:eastAsia="Times New Roman" w:hAnsi="Calibri" w:cs="Calibri"/>
                <w:color w:val="000000"/>
                <w:kern w:val="0"/>
                <w:sz w:val="16"/>
                <w:szCs w:val="16"/>
                <w14:ligatures w14:val="none"/>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4BEA30ED" w14:textId="77777777" w:rsidR="00122934" w:rsidRPr="00E440BE" w:rsidRDefault="00122934"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N/A</w:t>
            </w:r>
          </w:p>
        </w:tc>
        <w:tc>
          <w:tcPr>
            <w:tcW w:w="4173" w:type="dxa"/>
            <w:tcBorders>
              <w:top w:val="single" w:sz="4" w:space="0" w:color="auto"/>
              <w:left w:val="nil"/>
              <w:bottom w:val="single" w:sz="4" w:space="0" w:color="auto"/>
              <w:right w:val="single" w:sz="4" w:space="0" w:color="auto"/>
            </w:tcBorders>
            <w:shd w:val="clear" w:color="auto" w:fill="auto"/>
            <w:vAlign w:val="center"/>
          </w:tcPr>
          <w:p w14:paraId="7263D5BA" w14:textId="77777777" w:rsidR="00122934" w:rsidRPr="00E440BE" w:rsidRDefault="00EF144F" w:rsidP="000250B5">
            <w:pPr>
              <w:spacing w:after="0" w:line="240" w:lineRule="auto"/>
              <w:jc w:val="both"/>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Demanda de Desahucio en Precario- Transcurridos varios años, como resultado de un trámite apelativo, se revirtieron los dictámenes previos y se le concedió a la parte demandada la oportunidad de presentar alegaciones. Se está en espera de recibir las alegaciones autorizadas a la parte demandada.</w:t>
            </w:r>
          </w:p>
          <w:p w14:paraId="7B0B3468" w14:textId="77777777" w:rsidR="00EF144F" w:rsidRPr="00E440BE" w:rsidRDefault="00EF144F" w:rsidP="000250B5">
            <w:pPr>
              <w:spacing w:after="0" w:line="240" w:lineRule="auto"/>
              <w:jc w:val="both"/>
              <w:rPr>
                <w:rFonts w:ascii="Calibri" w:eastAsia="Times New Roman" w:hAnsi="Calibri" w:cs="Calibri"/>
                <w:color w:val="000000"/>
                <w:kern w:val="0"/>
                <w:sz w:val="16"/>
                <w:szCs w:val="16"/>
                <w14:ligatures w14:val="none"/>
              </w:rPr>
            </w:pPr>
          </w:p>
        </w:tc>
      </w:tr>
      <w:tr w:rsidR="00122934" w:rsidRPr="003E2CFD" w14:paraId="6EAF602C"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D45673" w14:textId="77777777" w:rsidR="00122934" w:rsidRPr="00120D21" w:rsidRDefault="00122934" w:rsidP="000250B5">
            <w:pPr>
              <w:spacing w:after="0" w:line="240" w:lineRule="auto"/>
              <w:jc w:val="center"/>
              <w:rPr>
                <w:rFonts w:ascii="Calibri" w:eastAsia="Times New Roman" w:hAnsi="Calibri" w:cs="Calibri"/>
                <w:kern w:val="0"/>
                <w:sz w:val="22"/>
                <w:szCs w:val="22"/>
                <w14:ligatures w14:val="none"/>
              </w:rPr>
            </w:pPr>
            <w:r w:rsidRPr="00120D21">
              <w:rPr>
                <w:rFonts w:ascii="Calibri" w:eastAsia="Times New Roman" w:hAnsi="Calibri" w:cs="Calibri"/>
                <w:kern w:val="0"/>
                <w:sz w:val="22"/>
                <w:szCs w:val="22"/>
                <w14:ligatures w14:val="none"/>
              </w:rPr>
              <w:t>Administración de Terrenos v Xavier Zequeira, Inc.</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13055DF6" w14:textId="77777777" w:rsidR="00122934" w:rsidRPr="003E2CFD" w:rsidRDefault="00122934"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4FF25439" w14:textId="77777777" w:rsidR="00122934" w:rsidRPr="003E2CFD" w:rsidRDefault="00122934" w:rsidP="000250B5">
            <w:pPr>
              <w:spacing w:after="0" w:line="240" w:lineRule="auto"/>
              <w:jc w:val="center"/>
              <w:rPr>
                <w:rFonts w:ascii="Calibri" w:eastAsia="Times New Roman" w:hAnsi="Calibri" w:cs="Calibri"/>
                <w:color w:val="000000"/>
                <w:kern w:val="0"/>
                <w:sz w:val="16"/>
                <w:szCs w:val="16"/>
                <w14:ligatures w14:val="none"/>
              </w:rPr>
            </w:pPr>
            <w:r w:rsidRPr="003E2CFD">
              <w:rPr>
                <w:rFonts w:ascii="Calibri" w:eastAsia="Times New Roman" w:hAnsi="Calibri" w:cs="Calibri"/>
                <w:color w:val="000000"/>
                <w:kern w:val="0"/>
                <w:sz w:val="16"/>
                <w:szCs w:val="16"/>
                <w14:ligatures w14:val="none"/>
              </w:rPr>
              <w:t>SJ2019CV05722</w:t>
            </w: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1E95EED8" w14:textId="77777777" w:rsidR="00122934" w:rsidRPr="003E2CFD" w:rsidRDefault="00122934" w:rsidP="000250B5">
            <w:pPr>
              <w:spacing w:after="0" w:line="240" w:lineRule="auto"/>
              <w:jc w:val="center"/>
              <w:rPr>
                <w:rFonts w:ascii="Calibri" w:eastAsia="Times New Roman" w:hAnsi="Calibri" w:cs="Calibri"/>
                <w:color w:val="000000"/>
                <w:kern w:val="0"/>
                <w:sz w:val="16"/>
                <w:szCs w:val="16"/>
                <w14:ligatures w14:val="none"/>
              </w:rPr>
            </w:pPr>
            <w:r w:rsidRPr="003E2CFD">
              <w:rPr>
                <w:rFonts w:ascii="Calibri" w:eastAsia="Times New Roman" w:hAnsi="Calibri" w:cs="Calibri"/>
                <w:color w:val="000000"/>
                <w:kern w:val="0"/>
                <w:sz w:val="16"/>
                <w:szCs w:val="16"/>
                <w14:ligatures w14:val="none"/>
              </w:rPr>
              <w:t>KLCE202101323</w:t>
            </w: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78F889AA" w14:textId="77777777" w:rsidR="00122934" w:rsidRPr="003E2CFD" w:rsidRDefault="00122934" w:rsidP="000250B5">
            <w:pPr>
              <w:spacing w:after="0" w:line="240" w:lineRule="auto"/>
              <w:jc w:val="center"/>
              <w:rPr>
                <w:rFonts w:ascii="Calibri" w:eastAsia="Times New Roman" w:hAnsi="Calibri" w:cs="Calibri"/>
                <w:color w:val="000000"/>
                <w:kern w:val="0"/>
                <w:sz w:val="16"/>
                <w:szCs w:val="16"/>
                <w14:ligatures w14:val="none"/>
              </w:rPr>
            </w:pPr>
            <w:r w:rsidRPr="003E2CFD">
              <w:rPr>
                <w:rFonts w:ascii="Calibri" w:eastAsia="Times New Roman" w:hAnsi="Calibri" w:cs="Calibri"/>
                <w:color w:val="000000"/>
                <w:kern w:val="0"/>
                <w:sz w:val="16"/>
                <w:szCs w:val="16"/>
                <w14:ligatures w14:val="none"/>
              </w:rPr>
              <w:t>CC-2022-0502</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1C63D9C" w14:textId="77777777" w:rsidR="00122934" w:rsidRPr="003E2CFD" w:rsidRDefault="00122934"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D367771" w14:textId="77777777" w:rsidR="00122934" w:rsidRPr="003E2CFD" w:rsidRDefault="00122934" w:rsidP="000250B5">
            <w:pPr>
              <w:spacing w:after="0" w:line="240" w:lineRule="auto"/>
              <w:jc w:val="center"/>
              <w:rPr>
                <w:rFonts w:ascii="Calibri" w:eastAsia="Times New Roman" w:hAnsi="Calibri" w:cs="Calibri"/>
                <w:color w:val="000000"/>
                <w:kern w:val="0"/>
                <w:sz w:val="16"/>
                <w:szCs w:val="16"/>
                <w14:ligatures w14:val="none"/>
              </w:rPr>
            </w:pPr>
            <w:r w:rsidRPr="003E2CFD">
              <w:rPr>
                <w:rFonts w:ascii="Calibri" w:eastAsia="Times New Roman" w:hAnsi="Calibri" w:cs="Calibri"/>
                <w:color w:val="000000"/>
                <w:kern w:val="0"/>
                <w:sz w:val="16"/>
                <w:szCs w:val="16"/>
                <w14:ligatures w14:val="none"/>
              </w:rPr>
              <w:t>CC-2022-0502</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0D9107F0" w14:textId="77777777" w:rsidR="00122934" w:rsidRPr="003E2CFD" w:rsidRDefault="00122934"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0FEA4C85" w14:textId="77777777" w:rsidR="00122934" w:rsidRPr="00E440BE" w:rsidRDefault="00122934"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2A8644FD" w14:textId="77777777" w:rsidR="00122934" w:rsidRPr="00E440BE" w:rsidRDefault="00122934" w:rsidP="000250B5">
            <w:pPr>
              <w:spacing w:after="0" w:line="240" w:lineRule="auto"/>
              <w:jc w:val="center"/>
              <w:rPr>
                <w:rFonts w:ascii="Calibri" w:eastAsia="Times New Roman" w:hAnsi="Calibri" w:cs="Calibri"/>
                <w:color w:val="000000"/>
                <w:kern w:val="0"/>
                <w:sz w:val="16"/>
                <w:szCs w:val="16"/>
                <w14:ligatures w14:val="none"/>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7C115A00" w14:textId="77777777" w:rsidR="00122934" w:rsidRPr="00E440BE" w:rsidRDefault="00EF144F"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40B6A5C4" w14:textId="77777777" w:rsidR="00122934" w:rsidRPr="00E440BE" w:rsidRDefault="00EF144F"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3A021C1B" w14:textId="77777777" w:rsidR="00122934" w:rsidRPr="00E440BE" w:rsidRDefault="00122934"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$79,796.86</w:t>
            </w:r>
          </w:p>
        </w:tc>
        <w:tc>
          <w:tcPr>
            <w:tcW w:w="4173" w:type="dxa"/>
            <w:tcBorders>
              <w:top w:val="single" w:sz="4" w:space="0" w:color="auto"/>
              <w:left w:val="nil"/>
              <w:bottom w:val="single" w:sz="4" w:space="0" w:color="auto"/>
              <w:right w:val="single" w:sz="4" w:space="0" w:color="auto"/>
            </w:tcBorders>
            <w:shd w:val="clear" w:color="auto" w:fill="auto"/>
            <w:vAlign w:val="center"/>
          </w:tcPr>
          <w:p w14:paraId="7DFD11B8" w14:textId="77777777" w:rsidR="00122934" w:rsidRPr="00E440BE" w:rsidRDefault="00122934" w:rsidP="000250B5">
            <w:pPr>
              <w:spacing w:after="0" w:line="240" w:lineRule="auto"/>
              <w:jc w:val="both"/>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Demanda en cobro de dinero por concepto de cánones de arrendamiento y contribuciones territoriales vencidas</w:t>
            </w:r>
            <w:r w:rsidR="00EF144F" w:rsidRPr="00E440BE">
              <w:rPr>
                <w:rFonts w:ascii="Calibri" w:eastAsia="Times New Roman" w:hAnsi="Calibri" w:cs="Calibri"/>
                <w:color w:val="000000"/>
                <w:kern w:val="0"/>
                <w:sz w:val="16"/>
                <w:szCs w:val="16"/>
                <w14:ligatures w14:val="none"/>
              </w:rPr>
              <w:t>.  El caso se resolvió mediante Acuerdo. Ya la parte demandada saldó la cuantía acordada como transacción.</w:t>
            </w:r>
          </w:p>
          <w:p w14:paraId="709DBED8" w14:textId="77777777" w:rsidR="00122934" w:rsidRPr="00E440BE" w:rsidRDefault="00122934" w:rsidP="000250B5">
            <w:pPr>
              <w:spacing w:after="0" w:line="240" w:lineRule="auto"/>
              <w:jc w:val="both"/>
              <w:rPr>
                <w:rFonts w:ascii="Calibri" w:eastAsia="Times New Roman" w:hAnsi="Calibri" w:cs="Calibri"/>
                <w:color w:val="000000"/>
                <w:kern w:val="0"/>
                <w:sz w:val="16"/>
                <w:szCs w:val="16"/>
                <w14:ligatures w14:val="none"/>
              </w:rPr>
            </w:pPr>
          </w:p>
        </w:tc>
      </w:tr>
      <w:tr w:rsidR="009F7324" w:rsidRPr="003E2CFD" w14:paraId="40A3320F"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0973FD" w14:textId="77777777" w:rsidR="009F7324" w:rsidRPr="00120D21" w:rsidRDefault="009F7324" w:rsidP="000250B5">
            <w:pPr>
              <w:spacing w:after="0" w:line="240" w:lineRule="auto"/>
              <w:jc w:val="center"/>
              <w:rPr>
                <w:rFonts w:ascii="Calibri" w:eastAsia="Times New Roman" w:hAnsi="Calibri" w:cs="Calibri"/>
                <w:kern w:val="0"/>
                <w:sz w:val="22"/>
                <w:szCs w:val="22"/>
                <w14:ligatures w14:val="none"/>
              </w:rPr>
            </w:pPr>
            <w:r w:rsidRPr="00120D21">
              <w:rPr>
                <w:rFonts w:ascii="Calibri" w:eastAsia="Times New Roman" w:hAnsi="Calibri" w:cs="Calibri"/>
                <w:kern w:val="0"/>
                <w:sz w:val="22"/>
                <w:szCs w:val="22"/>
                <w14:ligatures w14:val="none"/>
              </w:rPr>
              <w:t>Autoridad de Energía Eléctrica, y otros v PUMA, y otros</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5AB3A26D" w14:textId="77777777" w:rsidR="009F7324" w:rsidRPr="003E2CFD" w:rsidRDefault="009F7324"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386B108E" w14:textId="77777777" w:rsidR="009F7324" w:rsidRPr="003E2CFD" w:rsidRDefault="009F7324" w:rsidP="000250B5">
            <w:pPr>
              <w:spacing w:after="0" w:line="240" w:lineRule="auto"/>
              <w:jc w:val="center"/>
              <w:rPr>
                <w:rFonts w:ascii="Calibri" w:eastAsia="Times New Roman" w:hAnsi="Calibri" w:cs="Calibri"/>
                <w:color w:val="000000"/>
                <w:kern w:val="0"/>
                <w:sz w:val="16"/>
                <w:szCs w:val="16"/>
                <w14:ligatures w14:val="none"/>
              </w:rPr>
            </w:pPr>
            <w:r w:rsidRPr="007A341B">
              <w:rPr>
                <w:rFonts w:ascii="Calibri" w:eastAsia="Times New Roman" w:hAnsi="Calibri" w:cs="Calibri"/>
                <w:color w:val="000000"/>
                <w:kern w:val="0"/>
                <w:sz w:val="16"/>
                <w:szCs w:val="16"/>
                <w14:ligatures w14:val="none"/>
              </w:rPr>
              <w:t>SJ2021CV07814</w:t>
            </w: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7E66F312" w14:textId="77777777" w:rsidR="009F7324" w:rsidRPr="003E2CFD" w:rsidRDefault="009F7324" w:rsidP="000250B5">
            <w:pPr>
              <w:spacing w:after="0" w:line="240" w:lineRule="auto"/>
              <w:jc w:val="center"/>
              <w:rPr>
                <w:rFonts w:ascii="Calibri" w:eastAsia="Times New Roman" w:hAnsi="Calibri" w:cs="Calibri"/>
                <w:color w:val="000000"/>
                <w:kern w:val="0"/>
                <w:sz w:val="16"/>
                <w:szCs w:val="16"/>
                <w14:ligatures w14:val="none"/>
              </w:rPr>
            </w:pPr>
            <w:r w:rsidRPr="007A341B">
              <w:rPr>
                <w:rFonts w:ascii="Calibri" w:eastAsia="Times New Roman" w:hAnsi="Calibri" w:cs="Calibri"/>
                <w:color w:val="000000"/>
                <w:kern w:val="0"/>
                <w:sz w:val="16"/>
                <w:szCs w:val="16"/>
                <w14:ligatures w14:val="none"/>
              </w:rPr>
              <w:t>KLAN202200121</w:t>
            </w: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4E87F16C" w14:textId="77777777" w:rsidR="009F7324" w:rsidRPr="003E2CFD" w:rsidRDefault="009F7324"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045AE0D" w14:textId="77777777" w:rsidR="009F7324" w:rsidRPr="003E2CFD" w:rsidRDefault="009F7324"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C32FF31" w14:textId="77777777" w:rsidR="009F7324" w:rsidRPr="003E2CFD" w:rsidRDefault="009F7324"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6B74C5CD" w14:textId="77777777" w:rsidR="009F7324" w:rsidRPr="003E2CFD" w:rsidRDefault="009F7324"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79D542DA" w14:textId="77777777" w:rsidR="009F7324" w:rsidRPr="00E440BE" w:rsidRDefault="009F7324"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0572AF4B" w14:textId="77777777" w:rsidR="009F7324" w:rsidRPr="00E440BE" w:rsidRDefault="009F7324"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1BBB7ABC" w14:textId="77777777" w:rsidR="009F7324" w:rsidRPr="00E440BE" w:rsidRDefault="009F7324" w:rsidP="000250B5">
            <w:pPr>
              <w:spacing w:after="0" w:line="240" w:lineRule="auto"/>
              <w:jc w:val="center"/>
              <w:rPr>
                <w:rFonts w:ascii="Calibri" w:eastAsia="Times New Roman" w:hAnsi="Calibri" w:cs="Calibri"/>
                <w:color w:val="000000"/>
                <w:kern w:val="0"/>
                <w:sz w:val="16"/>
                <w:szCs w:val="16"/>
                <w14:ligatures w14:val="none"/>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02603167" w14:textId="77777777" w:rsidR="009F7324" w:rsidRPr="00E440BE" w:rsidRDefault="009F7324" w:rsidP="000250B5">
            <w:pPr>
              <w:spacing w:after="0" w:line="240" w:lineRule="auto"/>
              <w:jc w:val="center"/>
              <w:rPr>
                <w:rFonts w:ascii="Calibri" w:eastAsia="Times New Roman" w:hAnsi="Calibri" w:cs="Calibri"/>
                <w:color w:val="000000"/>
                <w:kern w:val="0"/>
                <w:sz w:val="16"/>
                <w:szCs w:val="16"/>
                <w14:ligatures w14:val="none"/>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3F53EB40" w14:textId="77777777" w:rsidR="009F7324" w:rsidRPr="00E440BE" w:rsidRDefault="009F7324"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$2,000,000.00</w:t>
            </w:r>
          </w:p>
        </w:tc>
        <w:tc>
          <w:tcPr>
            <w:tcW w:w="4173" w:type="dxa"/>
            <w:tcBorders>
              <w:top w:val="single" w:sz="4" w:space="0" w:color="auto"/>
              <w:left w:val="nil"/>
              <w:bottom w:val="single" w:sz="4" w:space="0" w:color="auto"/>
              <w:right w:val="single" w:sz="4" w:space="0" w:color="auto"/>
            </w:tcBorders>
            <w:shd w:val="clear" w:color="auto" w:fill="auto"/>
            <w:vAlign w:val="center"/>
          </w:tcPr>
          <w:p w14:paraId="1174BDE3" w14:textId="77777777" w:rsidR="00EF144F" w:rsidRPr="00E440BE" w:rsidRDefault="00EF144F" w:rsidP="000250B5">
            <w:pPr>
              <w:spacing w:after="0" w:line="240" w:lineRule="auto"/>
              <w:jc w:val="both"/>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Inició con Demanda Jurada por la AEE, junto a una Solicitud de Entredicho Provisional, Injunction Preliminar y Permanente. En apretada síntesis, la AEE solicitó la intervención del Tribunal porque Puma Energy Caribe LLC, en adelante “Puma”, asumió la posición de que es titular de una tubería y dos válvulas denominadas M-14 y M-17 que ubican en el COD del Cataño Fuel Storage Facility, que es propiedad de la Administración de Terrenos. Puma se negaba a permitir que la tubería y válvulas en cuestión fuesen utilizadas para descargar combustible para la AEE. La Administración fue incluida en el pleito por la AEE por ser la dueña del COD, y de las tuberías y válvulas en cuestión. La Administración instó una Demanda Contra Coparte, contra la codemandada Puma, a base de las alegaciones de la Demanda Jurada que presentó la AEE y otras alegaciones. La Administración se unió a la AEE y solicitó que se emita una orden de injunction preliminar y permanente, bajo apercibimiento de desacato, que le prohíba a Puma interferir con el uso de la tubería y de las válvulas M-14 y M-17 que son objeto de controversia, cuya operación es necesaria para suplir el combustible para la generación de electricidad a gran parte de Puerto Rico y para la adecuada operación del CFS. El TPI dictó Sentencia Parcial declarando con lugar la solicitud de interdicto preliminar y denegando una Moción de Desestimación de PUMA.</w:t>
            </w:r>
          </w:p>
          <w:p w14:paraId="46A56A75" w14:textId="77777777" w:rsidR="00EF144F" w:rsidRPr="00E440BE" w:rsidRDefault="00EF144F" w:rsidP="000250B5">
            <w:pPr>
              <w:spacing w:after="0" w:line="240" w:lineRule="auto"/>
              <w:jc w:val="both"/>
              <w:rPr>
                <w:rFonts w:ascii="Calibri" w:eastAsia="Times New Roman" w:hAnsi="Calibri" w:cs="Calibri"/>
                <w:color w:val="000000"/>
                <w:kern w:val="0"/>
                <w:sz w:val="16"/>
                <w:szCs w:val="16"/>
                <w14:ligatures w14:val="none"/>
              </w:rPr>
            </w:pPr>
          </w:p>
          <w:p w14:paraId="52F1DECC" w14:textId="77777777" w:rsidR="009F7324" w:rsidRPr="00E440BE" w:rsidRDefault="00EF144F" w:rsidP="005C4726">
            <w:pPr>
              <w:spacing w:after="0" w:line="240" w:lineRule="auto"/>
              <w:jc w:val="both"/>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 xml:space="preserve">En la Demanda Contra Coparte, la Administración le reclama a PUMA por el uso ilegal de una tubería por años, sumas </w:t>
            </w:r>
            <w:r w:rsidRPr="00E440BE">
              <w:rPr>
                <w:rFonts w:ascii="Calibri" w:eastAsia="Times New Roman" w:hAnsi="Calibri" w:cs="Calibri"/>
                <w:color w:val="000000"/>
                <w:kern w:val="0"/>
                <w:sz w:val="16"/>
                <w:szCs w:val="16"/>
                <w14:ligatures w14:val="none"/>
              </w:rPr>
              <w:lastRenderedPageBreak/>
              <w:t xml:space="preserve">millonarias que están sujetas a determinarse mediante descubrimiento de prueba.  PR Energy LLC, antes PUMA, reconvino reclamando daños por una cantidad no menor $2,000,000.00 a base de una alegación concluyente y frívola de </w:t>
            </w:r>
            <w:r w:rsidRPr="00E440BE">
              <w:rPr>
                <w:rFonts w:ascii="Calibri" w:hAnsi="Calibri" w:cs="Calibri"/>
                <w:sz w:val="16"/>
                <w:szCs w:val="16"/>
              </w:rPr>
              <w:t xml:space="preserve">“apropiación ilegal”, “a la fuerza y de manera ilícita” Las Partes han estado activas en el descubrimiento de prueba y se encuentran inmersas en dicho procedimiento. Las Partes presentaron moción conjunta solicitando extensión del término de descubrimiento de prueba y vista para el mes de octubre de 2024, con el propósito de pautar los asuntos pendientes. </w:t>
            </w:r>
            <w:r w:rsidR="005C4726">
              <w:rPr>
                <w:rFonts w:ascii="Calibri" w:hAnsi="Calibri" w:cs="Calibri"/>
                <w:sz w:val="16"/>
                <w:szCs w:val="16"/>
              </w:rPr>
              <w:t>El TPI señaló</w:t>
            </w:r>
            <w:r w:rsidR="005C4726" w:rsidRPr="005C4726">
              <w:rPr>
                <w:rFonts w:ascii="Calibri" w:hAnsi="Calibri" w:cs="Calibri"/>
                <w:sz w:val="16"/>
                <w:szCs w:val="16"/>
              </w:rPr>
              <w:t xml:space="preserve"> Vista sobre el Estado de los Procedimientos para el 31 de octubre de 2024 a las 9:00 am de forma presencial</w:t>
            </w:r>
            <w:r w:rsidR="005C4726">
              <w:rPr>
                <w:rFonts w:ascii="Calibri" w:hAnsi="Calibri" w:cs="Calibri"/>
                <w:sz w:val="16"/>
                <w:szCs w:val="16"/>
              </w:rPr>
              <w:t>.</w:t>
            </w:r>
            <w:r w:rsidRPr="00E440BE">
              <w:rPr>
                <w:rFonts w:ascii="Calibri" w:hAnsi="Calibri" w:cs="Calibri"/>
                <w:sz w:val="16"/>
                <w:szCs w:val="16"/>
              </w:rPr>
              <w:t xml:space="preserve"> El caso tiene Conferencia con Antelación a Juicio pautada para el 17 de diciembre de 2024, aunque la naturaleza del señalamiento debería variar a base de lo expuesto en la moción en la que, de manera conjunta, se solicitó una extensión del descubrimiento de prueba para, entre otras cosas, completar la prueba pericial.</w:t>
            </w:r>
            <w:r w:rsidRPr="00E440BE">
              <w:rPr>
                <w:rFonts w:ascii="Calibri" w:eastAsia="Times New Roman" w:hAnsi="Calibri" w:cs="Calibri"/>
                <w:color w:val="000000"/>
                <w:kern w:val="0"/>
                <w:sz w:val="16"/>
                <w:szCs w:val="16"/>
                <w14:ligatures w14:val="none"/>
              </w:rPr>
              <w:t xml:space="preserve"> Además, recientemente se recibió notificación en la que se reasign</w:t>
            </w:r>
            <w:r w:rsidR="005C4726">
              <w:rPr>
                <w:rFonts w:ascii="Calibri" w:eastAsia="Times New Roman" w:hAnsi="Calibri" w:cs="Calibri"/>
                <w:color w:val="000000"/>
                <w:kern w:val="0"/>
                <w:sz w:val="16"/>
                <w:szCs w:val="16"/>
                <w14:ligatures w14:val="none"/>
              </w:rPr>
              <w:t>ó</w:t>
            </w:r>
            <w:r w:rsidRPr="00E440BE">
              <w:rPr>
                <w:rFonts w:ascii="Calibri" w:eastAsia="Times New Roman" w:hAnsi="Calibri" w:cs="Calibri"/>
                <w:color w:val="000000"/>
                <w:kern w:val="0"/>
                <w:sz w:val="16"/>
                <w:szCs w:val="16"/>
                <w14:ligatures w14:val="none"/>
              </w:rPr>
              <w:t xml:space="preserve"> el caso a otr</w:t>
            </w:r>
            <w:r w:rsidR="005C4726">
              <w:rPr>
                <w:rFonts w:ascii="Calibri" w:eastAsia="Times New Roman" w:hAnsi="Calibri" w:cs="Calibri"/>
                <w:color w:val="000000"/>
                <w:kern w:val="0"/>
                <w:sz w:val="16"/>
                <w:szCs w:val="16"/>
                <w14:ligatures w14:val="none"/>
              </w:rPr>
              <w:t>o Juez</w:t>
            </w:r>
            <w:r w:rsidRPr="00E440BE">
              <w:rPr>
                <w:rFonts w:ascii="Calibri" w:eastAsia="Times New Roman" w:hAnsi="Calibri" w:cs="Calibri"/>
                <w:color w:val="000000"/>
                <w:kern w:val="0"/>
                <w:sz w:val="16"/>
                <w:szCs w:val="16"/>
                <w14:ligatures w14:val="none"/>
              </w:rPr>
              <w:t xml:space="preserve">.  </w:t>
            </w:r>
          </w:p>
          <w:p w14:paraId="23FD1F36" w14:textId="77777777" w:rsidR="00EF144F" w:rsidRPr="00E440BE" w:rsidRDefault="00EF144F" w:rsidP="000250B5">
            <w:pPr>
              <w:spacing w:after="0" w:line="240" w:lineRule="auto"/>
              <w:jc w:val="both"/>
              <w:rPr>
                <w:rFonts w:ascii="Calibri" w:eastAsia="Times New Roman" w:hAnsi="Calibri" w:cs="Calibri"/>
                <w:color w:val="000000"/>
                <w:kern w:val="0"/>
                <w:sz w:val="16"/>
                <w:szCs w:val="16"/>
                <w14:ligatures w14:val="none"/>
              </w:rPr>
            </w:pPr>
          </w:p>
        </w:tc>
      </w:tr>
      <w:tr w:rsidR="009F7324" w:rsidRPr="003E2CFD" w14:paraId="37760868"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C44250" w14:textId="77777777" w:rsidR="009F7324" w:rsidRPr="00120D21" w:rsidRDefault="009F7324" w:rsidP="000250B5">
            <w:pPr>
              <w:spacing w:after="0" w:line="240" w:lineRule="auto"/>
              <w:jc w:val="center"/>
              <w:rPr>
                <w:rFonts w:ascii="Calibri" w:eastAsia="Times New Roman" w:hAnsi="Calibri" w:cs="Calibri"/>
                <w:color w:val="0070C0"/>
                <w:kern w:val="0"/>
                <w:sz w:val="22"/>
                <w:szCs w:val="22"/>
                <w:lang w:val="en-US"/>
                <w14:ligatures w14:val="none"/>
              </w:rPr>
            </w:pPr>
            <w:r w:rsidRPr="00120D21">
              <w:rPr>
                <w:rFonts w:ascii="Calibri" w:eastAsia="Times New Roman" w:hAnsi="Calibri" w:cs="Calibri"/>
                <w:kern w:val="0"/>
                <w:sz w:val="22"/>
                <w:szCs w:val="22"/>
                <w:lang w:val="en-US"/>
                <w14:ligatures w14:val="none"/>
              </w:rPr>
              <w:lastRenderedPageBreak/>
              <w:t>AT v Finca Matilde, Inc.</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3730E13D" w14:textId="77777777" w:rsidR="009F7324" w:rsidRPr="00F13E8E" w:rsidRDefault="009F7324" w:rsidP="000250B5">
            <w:pPr>
              <w:spacing w:after="0" w:line="240" w:lineRule="auto"/>
              <w:jc w:val="center"/>
              <w:rPr>
                <w:rFonts w:ascii="Calibri" w:eastAsia="Times New Roman" w:hAnsi="Calibri" w:cs="Calibri"/>
                <w:color w:val="000000"/>
                <w:kern w:val="0"/>
                <w:sz w:val="16"/>
                <w:szCs w:val="16"/>
                <w:lang w:val="en-US"/>
                <w14:ligatures w14:val="none"/>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693DA365" w14:textId="77777777" w:rsidR="009F7324" w:rsidRPr="007A341B" w:rsidRDefault="009F7324" w:rsidP="000250B5">
            <w:pPr>
              <w:spacing w:after="0" w:line="240" w:lineRule="auto"/>
              <w:jc w:val="center"/>
              <w:rPr>
                <w:rFonts w:ascii="Calibri" w:eastAsia="Times New Roman" w:hAnsi="Calibri" w:cs="Calibri"/>
                <w:color w:val="000000"/>
                <w:kern w:val="0"/>
                <w:sz w:val="16"/>
                <w:szCs w:val="16"/>
                <w14:ligatures w14:val="none"/>
              </w:rPr>
            </w:pPr>
            <w:r w:rsidRPr="00940CA7">
              <w:rPr>
                <w:rFonts w:ascii="Calibri" w:eastAsia="Times New Roman" w:hAnsi="Calibri" w:cs="Calibri"/>
                <w:color w:val="000000"/>
                <w:kern w:val="0"/>
                <w:sz w:val="16"/>
                <w:szCs w:val="16"/>
                <w14:ligatures w14:val="none"/>
              </w:rPr>
              <w:t>K EF1992-0528 (1003)</w:t>
            </w: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7CB24968" w14:textId="77777777" w:rsidR="009F7324" w:rsidRPr="007A341B" w:rsidRDefault="009F7324" w:rsidP="000250B5">
            <w:pPr>
              <w:spacing w:after="0" w:line="240" w:lineRule="auto"/>
              <w:jc w:val="center"/>
              <w:rPr>
                <w:rFonts w:ascii="Calibri" w:eastAsia="Times New Roman" w:hAnsi="Calibri" w:cs="Calibri"/>
                <w:color w:val="000000"/>
                <w:kern w:val="0"/>
                <w:sz w:val="16"/>
                <w:szCs w:val="16"/>
                <w14:ligatures w14:val="none"/>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5EB71450" w14:textId="77777777" w:rsidR="009F7324" w:rsidRPr="003E2CFD" w:rsidRDefault="009F7324"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09332BB" w14:textId="77777777" w:rsidR="009F7324" w:rsidRPr="003E2CFD" w:rsidRDefault="009F7324"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A0DF878" w14:textId="77777777" w:rsidR="009F7324" w:rsidRPr="003E2CFD" w:rsidRDefault="009F7324"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2501C07A" w14:textId="77777777" w:rsidR="009F7324" w:rsidRPr="003E2CFD" w:rsidRDefault="009F7324"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4F41DA97" w14:textId="77777777" w:rsidR="009F7324" w:rsidRPr="00E440BE" w:rsidRDefault="009F7324"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2C6BBDA1" w14:textId="77777777" w:rsidR="009F7324" w:rsidRPr="00E440BE" w:rsidRDefault="009F7324" w:rsidP="000250B5">
            <w:pPr>
              <w:spacing w:after="0" w:line="240" w:lineRule="auto"/>
              <w:jc w:val="center"/>
              <w:rPr>
                <w:rFonts w:ascii="Calibri" w:eastAsia="Times New Roman" w:hAnsi="Calibri" w:cs="Calibri"/>
                <w:color w:val="000000"/>
                <w:kern w:val="0"/>
                <w:sz w:val="16"/>
                <w:szCs w:val="16"/>
                <w14:ligatures w14:val="none"/>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3C569D1C" w14:textId="77777777" w:rsidR="009F7324" w:rsidRPr="00E440BE" w:rsidRDefault="005C4726" w:rsidP="000250B5">
            <w:pPr>
              <w:spacing w:after="0" w:line="240" w:lineRule="auto"/>
              <w:jc w:val="center"/>
              <w:rPr>
                <w:rFonts w:ascii="Calibri" w:eastAsia="Times New Roman" w:hAnsi="Calibri" w:cs="Calibri"/>
                <w:color w:val="000000"/>
                <w:kern w:val="0"/>
                <w:sz w:val="16"/>
                <w:szCs w:val="16"/>
                <w14:ligatures w14:val="none"/>
              </w:rPr>
            </w:pPr>
            <w:r>
              <w:rPr>
                <w:rFonts w:ascii="Calibri" w:eastAsia="Times New Roman" w:hAnsi="Calibri" w:cs="Calibri"/>
                <w:color w:val="000000"/>
                <w:kern w:val="0"/>
                <w:sz w:val="16"/>
                <w:szCs w:val="16"/>
                <w14:ligatures w14:val="none"/>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61D609EB" w14:textId="77777777" w:rsidR="009F7324" w:rsidRPr="00E440BE" w:rsidRDefault="005C4726" w:rsidP="000250B5">
            <w:pPr>
              <w:spacing w:after="0" w:line="240" w:lineRule="auto"/>
              <w:jc w:val="center"/>
              <w:rPr>
                <w:rFonts w:ascii="Calibri" w:eastAsia="Times New Roman" w:hAnsi="Calibri" w:cs="Calibri"/>
                <w:color w:val="000000"/>
                <w:kern w:val="0"/>
                <w:sz w:val="16"/>
                <w:szCs w:val="16"/>
                <w14:ligatures w14:val="none"/>
              </w:rPr>
            </w:pPr>
            <w:r>
              <w:rPr>
                <w:rFonts w:ascii="Calibri" w:eastAsia="Times New Roman" w:hAnsi="Calibri" w:cs="Calibri"/>
                <w:color w:val="000000"/>
                <w:kern w:val="0"/>
                <w:sz w:val="16"/>
                <w:szCs w:val="16"/>
                <w14:ligatures w14:val="none"/>
              </w:rPr>
              <w:t>x</w:t>
            </w: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6B4778E6" w14:textId="77777777" w:rsidR="009F7324" w:rsidRPr="00E440BE" w:rsidRDefault="009F7324"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$14,800,000.00</w:t>
            </w:r>
          </w:p>
        </w:tc>
        <w:tc>
          <w:tcPr>
            <w:tcW w:w="4173" w:type="dxa"/>
            <w:tcBorders>
              <w:top w:val="single" w:sz="4" w:space="0" w:color="auto"/>
              <w:left w:val="nil"/>
              <w:bottom w:val="single" w:sz="4" w:space="0" w:color="auto"/>
              <w:right w:val="single" w:sz="4" w:space="0" w:color="auto"/>
            </w:tcBorders>
            <w:shd w:val="clear" w:color="auto" w:fill="auto"/>
            <w:vAlign w:val="center"/>
          </w:tcPr>
          <w:p w14:paraId="2FF60B6A" w14:textId="77777777" w:rsidR="009F7324" w:rsidRPr="00E440BE" w:rsidRDefault="009F7324" w:rsidP="000250B5">
            <w:pPr>
              <w:spacing w:after="0" w:line="240" w:lineRule="auto"/>
              <w:jc w:val="both"/>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Expropiación forzosa; controversias pendientes sobre existencia de depósitos de arena para explotación comercial, mejor uso y valor de la finca expropiada para beneficio del Departamento de Recursos Naturales y Ambientales (DRNA). El caso se bifurcó; a partir del mes de abril de 2022 comenzaron las audiencias sobre el mejor y más provechoso uso del sujeto. La Parte con Interés presentó su prueba y el caso tenía señalamiento para la continuación durante los días 18 al 21 de abril de 2023. Las Partes llegaron a un acuerdo preliminar de transacción, el cual fue de aprobado por la OGP y la Junta de Supervisión Fiscal; se firmó una estipulación transaccional, y el TPI dictó sentencia de conformidad. El DRNA, para cuyo beneficio la Administración efectuó la expropiación, pagó la cantidad de $1.9 millones adicionales en concepto de justa compensación.</w:t>
            </w:r>
            <w:r w:rsidR="005C4726">
              <w:rPr>
                <w:rFonts w:ascii="Calibri" w:eastAsia="Times New Roman" w:hAnsi="Calibri" w:cs="Calibri"/>
                <w:color w:val="000000"/>
                <w:kern w:val="0"/>
                <w:sz w:val="16"/>
                <w:szCs w:val="16"/>
                <w14:ligatures w14:val="none"/>
              </w:rPr>
              <w:t xml:space="preserve"> El caso está cerrado.</w:t>
            </w:r>
          </w:p>
          <w:p w14:paraId="0D209EBA" w14:textId="77777777" w:rsidR="009F7324" w:rsidRPr="00E440BE" w:rsidRDefault="009F7324" w:rsidP="000250B5">
            <w:pPr>
              <w:spacing w:after="0" w:line="240" w:lineRule="auto"/>
              <w:jc w:val="both"/>
              <w:rPr>
                <w:rFonts w:ascii="Calibri" w:eastAsia="Times New Roman" w:hAnsi="Calibri" w:cs="Calibri"/>
                <w:color w:val="000000"/>
                <w:kern w:val="0"/>
                <w:sz w:val="16"/>
                <w:szCs w:val="16"/>
                <w14:ligatures w14:val="none"/>
              </w:rPr>
            </w:pPr>
          </w:p>
        </w:tc>
      </w:tr>
      <w:tr w:rsidR="009F7324" w:rsidRPr="003E2CFD" w14:paraId="06AC4562"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2D5885" w14:textId="77777777" w:rsidR="009F7324" w:rsidRPr="00120D21" w:rsidRDefault="009F7324" w:rsidP="000250B5">
            <w:pPr>
              <w:spacing w:after="0" w:line="240" w:lineRule="auto"/>
              <w:jc w:val="center"/>
              <w:rPr>
                <w:rFonts w:ascii="Calibri" w:eastAsia="Times New Roman" w:hAnsi="Calibri" w:cs="Calibri"/>
                <w:kern w:val="0"/>
                <w:sz w:val="22"/>
                <w:szCs w:val="22"/>
                <w14:ligatures w14:val="none"/>
              </w:rPr>
            </w:pPr>
            <w:r w:rsidRPr="00120D21">
              <w:rPr>
                <w:rFonts w:ascii="Calibri" w:eastAsia="Times New Roman" w:hAnsi="Calibri" w:cs="Calibri"/>
                <w:kern w:val="0"/>
                <w:sz w:val="22"/>
                <w:szCs w:val="22"/>
                <w14:ligatures w14:val="none"/>
              </w:rPr>
              <w:lastRenderedPageBreak/>
              <w:t>Sucesión Méndez López v Estado Libre Asociado de Puerto Rico; AT</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54A9BEE1" w14:textId="77777777" w:rsidR="009F7324" w:rsidRPr="003E2CFD" w:rsidRDefault="009F7324"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0F0CB268" w14:textId="77777777" w:rsidR="009F7324" w:rsidRPr="00940CA7" w:rsidRDefault="009F7324" w:rsidP="000250B5">
            <w:pPr>
              <w:spacing w:after="0" w:line="240" w:lineRule="auto"/>
              <w:jc w:val="center"/>
              <w:rPr>
                <w:rFonts w:ascii="Calibri" w:eastAsia="Times New Roman" w:hAnsi="Calibri" w:cs="Calibri"/>
                <w:color w:val="000000"/>
                <w:kern w:val="0"/>
                <w:sz w:val="16"/>
                <w:szCs w:val="16"/>
                <w14:ligatures w14:val="none"/>
              </w:rPr>
            </w:pPr>
            <w:r w:rsidRPr="00940CA7">
              <w:rPr>
                <w:rFonts w:ascii="Calibri" w:eastAsia="Times New Roman" w:hAnsi="Calibri" w:cs="Calibri"/>
                <w:color w:val="000000"/>
                <w:kern w:val="0"/>
                <w:sz w:val="16"/>
                <w:szCs w:val="16"/>
                <w14:ligatures w14:val="none"/>
              </w:rPr>
              <w:t>K DP1995-1140 (806)</w:t>
            </w: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7524EC23" w14:textId="77777777" w:rsidR="009F7324" w:rsidRPr="007A341B" w:rsidRDefault="009F7324" w:rsidP="000250B5">
            <w:pPr>
              <w:spacing w:after="0" w:line="240" w:lineRule="auto"/>
              <w:jc w:val="center"/>
              <w:rPr>
                <w:rFonts w:ascii="Calibri" w:eastAsia="Times New Roman" w:hAnsi="Calibri" w:cs="Calibri"/>
                <w:color w:val="000000"/>
                <w:kern w:val="0"/>
                <w:sz w:val="16"/>
                <w:szCs w:val="16"/>
                <w14:ligatures w14:val="none"/>
              </w:rPr>
            </w:pPr>
            <w:r w:rsidRPr="00940CA7">
              <w:rPr>
                <w:rFonts w:ascii="Calibri" w:eastAsia="Times New Roman" w:hAnsi="Calibri" w:cs="Calibri"/>
                <w:color w:val="000000"/>
                <w:kern w:val="0"/>
                <w:sz w:val="16"/>
                <w:szCs w:val="16"/>
                <w14:ligatures w14:val="none"/>
              </w:rPr>
              <w:t>KLAN20170764</w:t>
            </w: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2483E8F0" w14:textId="77777777" w:rsidR="009F7324" w:rsidRPr="003E2CFD" w:rsidRDefault="009F7324"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38BFA27" w14:textId="77777777" w:rsidR="009F7324" w:rsidRPr="003E2CFD" w:rsidRDefault="009F7324"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C08A87F" w14:textId="77777777" w:rsidR="009F7324" w:rsidRPr="003E2CFD" w:rsidRDefault="009F7324" w:rsidP="000250B5">
            <w:pPr>
              <w:spacing w:after="0" w:line="240" w:lineRule="auto"/>
              <w:jc w:val="center"/>
              <w:rPr>
                <w:rFonts w:ascii="Calibri" w:eastAsia="Times New Roman" w:hAnsi="Calibri" w:cs="Calibri"/>
                <w:color w:val="000000"/>
                <w:kern w:val="0"/>
                <w:sz w:val="16"/>
                <w:szCs w:val="16"/>
                <w14:ligatures w14:val="none"/>
              </w:rPr>
            </w:pPr>
            <w:r w:rsidRPr="00940CA7">
              <w:rPr>
                <w:rFonts w:ascii="Calibri" w:eastAsia="Times New Roman" w:hAnsi="Calibri" w:cs="Calibri"/>
                <w:color w:val="000000"/>
                <w:kern w:val="0"/>
                <w:sz w:val="16"/>
                <w:szCs w:val="16"/>
                <w14:ligatures w14:val="none"/>
              </w:rPr>
              <w:t>KLAN20170764</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5334F36A" w14:textId="77777777" w:rsidR="009F7324" w:rsidRPr="003E2CFD" w:rsidRDefault="009F7324"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316B1D33" w14:textId="77777777" w:rsidR="009F7324" w:rsidRPr="00E440BE" w:rsidRDefault="009F7324"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754BF262" w14:textId="77777777" w:rsidR="009F7324" w:rsidRPr="00E440BE" w:rsidRDefault="009F7324"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7D9E9707" w14:textId="77777777" w:rsidR="009F7324" w:rsidRPr="00E440BE" w:rsidRDefault="009F7324" w:rsidP="000250B5">
            <w:pPr>
              <w:spacing w:after="0" w:line="240" w:lineRule="auto"/>
              <w:jc w:val="center"/>
              <w:rPr>
                <w:rFonts w:ascii="Calibri" w:eastAsia="Times New Roman" w:hAnsi="Calibri" w:cs="Calibri"/>
                <w:color w:val="000000"/>
                <w:kern w:val="0"/>
                <w:sz w:val="16"/>
                <w:szCs w:val="16"/>
                <w14:ligatures w14:val="none"/>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4814EA4B" w14:textId="77777777" w:rsidR="009F7324" w:rsidRPr="00E440BE" w:rsidRDefault="009F7324" w:rsidP="000250B5">
            <w:pPr>
              <w:spacing w:after="0" w:line="240" w:lineRule="auto"/>
              <w:jc w:val="center"/>
              <w:rPr>
                <w:rFonts w:ascii="Calibri" w:eastAsia="Times New Roman" w:hAnsi="Calibri" w:cs="Calibri"/>
                <w:color w:val="000000"/>
                <w:kern w:val="0"/>
                <w:sz w:val="16"/>
                <w:szCs w:val="16"/>
                <w14:ligatures w14:val="none"/>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656D17BC" w14:textId="77777777" w:rsidR="009F7324" w:rsidRPr="00E440BE" w:rsidRDefault="009F7324"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$2,000,000</w:t>
            </w:r>
          </w:p>
        </w:tc>
        <w:tc>
          <w:tcPr>
            <w:tcW w:w="4173" w:type="dxa"/>
            <w:tcBorders>
              <w:top w:val="single" w:sz="4" w:space="0" w:color="auto"/>
              <w:left w:val="nil"/>
              <w:bottom w:val="single" w:sz="4" w:space="0" w:color="auto"/>
              <w:right w:val="single" w:sz="4" w:space="0" w:color="auto"/>
            </w:tcBorders>
            <w:shd w:val="clear" w:color="auto" w:fill="auto"/>
            <w:vAlign w:val="center"/>
          </w:tcPr>
          <w:p w14:paraId="253474FE" w14:textId="77777777" w:rsidR="009F7324" w:rsidRPr="00E440BE" w:rsidRDefault="005C4726" w:rsidP="000250B5">
            <w:pPr>
              <w:spacing w:after="0" w:line="240" w:lineRule="auto"/>
              <w:jc w:val="both"/>
              <w:rPr>
                <w:rFonts w:ascii="Calibri" w:eastAsia="Times New Roman" w:hAnsi="Calibri" w:cs="Calibri"/>
                <w:color w:val="000000"/>
                <w:kern w:val="0"/>
                <w:sz w:val="16"/>
                <w:szCs w:val="16"/>
                <w14:ligatures w14:val="none"/>
              </w:rPr>
            </w:pPr>
            <w:r>
              <w:rPr>
                <w:rFonts w:ascii="Calibri" w:eastAsia="Times New Roman" w:hAnsi="Calibri" w:cs="Calibri"/>
                <w:color w:val="000000"/>
                <w:kern w:val="0"/>
                <w:sz w:val="16"/>
                <w:szCs w:val="16"/>
                <w14:ligatures w14:val="none"/>
              </w:rPr>
              <w:t xml:space="preserve">Reclamación de Daños y Perjuicios. </w:t>
            </w:r>
            <w:r w:rsidR="009F7324" w:rsidRPr="00E440BE">
              <w:rPr>
                <w:rFonts w:ascii="Calibri" w:eastAsia="Times New Roman" w:hAnsi="Calibri" w:cs="Calibri"/>
                <w:color w:val="000000"/>
                <w:kern w:val="0"/>
                <w:sz w:val="16"/>
                <w:szCs w:val="16"/>
                <w14:ligatures w14:val="none"/>
              </w:rPr>
              <w:t>El TPI dictó Sentencia adversa en contra del ELA y de la Administración de Terrenos. Tanto el ELA (KLAN201700761) como la Administración de Terrenos (KLAN201700764) apelaron la Sentencia ante el Tribunal de Apelaciones por ser la misma contraria a la prueba que desfiló en el juicio. El Tribunal de Apelaciones desestimó ambos recursos debido al Stay del caso de quiebra pendiente (Título III). La Parte Demandante solicitó la reapertura del caso ante el Tribunal de Apelaciones. El TPI impuso el pago solidario de $954,752, más intereses por alegada temeridad al ELA y a la Administración de Terrenos. Recientemente, la Parte Demandante solicitó la reanudación de los procedimientos del caso presentado por la Administración de Terrenos (KLAN201700764) ante el Tribunal de Apelaciones. Tanto el Gobierno como la Administración se opusieron a la reapertura de los casos, los cuales fueron consolidados por el Tribunal de Apelaciones, por el fundamento de que, bajo el Plan de Ajuste aprobado y la Orden de Confirmación del Tribunal de los Estados Unidos para el Distrito de Puerto Rico, la Administración de Terrenos es un "Government Releasee" (por ser un "Covered Entity" bajo PROMESA), y existe un Injunction permanente (que sustituyó el efecto de la paralización automática) que impide la continuación de estos procedimientos. Es la posición de la Administración de Terrenos que el Honorable Tribunal de Apelaciones no tiene jurisdicción para ordenar la reanudación de los procedimientos.</w:t>
            </w:r>
          </w:p>
          <w:p w14:paraId="68790B1D" w14:textId="77777777" w:rsidR="009F7324" w:rsidRPr="00E440BE" w:rsidRDefault="009F7324" w:rsidP="000250B5">
            <w:pPr>
              <w:spacing w:after="0" w:line="240" w:lineRule="auto"/>
              <w:jc w:val="both"/>
              <w:rPr>
                <w:rFonts w:ascii="Calibri" w:eastAsia="Times New Roman" w:hAnsi="Calibri" w:cs="Calibri"/>
                <w:color w:val="000000"/>
                <w:kern w:val="0"/>
                <w:sz w:val="16"/>
                <w:szCs w:val="16"/>
                <w14:ligatures w14:val="none"/>
              </w:rPr>
            </w:pPr>
          </w:p>
        </w:tc>
      </w:tr>
      <w:tr w:rsidR="00191AAB" w:rsidRPr="003E2CFD" w14:paraId="6C607552"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EE7F05" w14:textId="77777777" w:rsidR="00191AAB" w:rsidRPr="00120D21" w:rsidRDefault="00191AAB" w:rsidP="000250B5">
            <w:pPr>
              <w:spacing w:after="0" w:line="240" w:lineRule="auto"/>
              <w:jc w:val="center"/>
              <w:rPr>
                <w:rFonts w:ascii="Calibri" w:eastAsia="Times New Roman" w:hAnsi="Calibri" w:cs="Calibri"/>
                <w:kern w:val="0"/>
                <w:sz w:val="22"/>
                <w:szCs w:val="22"/>
                <w14:ligatures w14:val="none"/>
              </w:rPr>
            </w:pPr>
            <w:r w:rsidRPr="00120D21">
              <w:rPr>
                <w:rFonts w:ascii="Calibri" w:eastAsia="Times New Roman" w:hAnsi="Calibri" w:cs="Calibri"/>
                <w:kern w:val="0"/>
                <w:sz w:val="22"/>
                <w:szCs w:val="22"/>
                <w14:ligatures w14:val="none"/>
              </w:rPr>
              <w:t>AT v J.J. Sosa y otros</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6D8BA20E" w14:textId="77777777" w:rsidR="00191AAB" w:rsidRPr="003E2CFD"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20D4D89E" w14:textId="77777777" w:rsidR="00191AAB" w:rsidRPr="00940CA7" w:rsidRDefault="00191AAB" w:rsidP="000250B5">
            <w:pPr>
              <w:spacing w:after="0" w:line="240" w:lineRule="auto"/>
              <w:jc w:val="center"/>
              <w:rPr>
                <w:rFonts w:ascii="Calibri" w:eastAsia="Times New Roman" w:hAnsi="Calibri" w:cs="Calibri"/>
                <w:color w:val="000000"/>
                <w:kern w:val="0"/>
                <w:sz w:val="16"/>
                <w:szCs w:val="16"/>
                <w14:ligatures w14:val="none"/>
              </w:rPr>
            </w:pPr>
            <w:r w:rsidRPr="00C4238E">
              <w:rPr>
                <w:rFonts w:ascii="Calibri" w:eastAsia="Times New Roman" w:hAnsi="Calibri" w:cs="Calibri"/>
                <w:color w:val="000000"/>
                <w:kern w:val="0"/>
                <w:sz w:val="16"/>
                <w:szCs w:val="16"/>
                <w14:ligatures w14:val="none"/>
              </w:rPr>
              <w:t>K EF2002-0059 (1003)</w:t>
            </w: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2086DDAC" w14:textId="77777777" w:rsidR="00191AAB" w:rsidRPr="00940CA7"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70F2D2C4" w14:textId="77777777" w:rsidR="00191AAB" w:rsidRPr="003E2CFD"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E8CADC1" w14:textId="77777777" w:rsidR="00191AAB" w:rsidRPr="003E2CFD"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5F28506" w14:textId="77777777" w:rsidR="00191AAB" w:rsidRPr="00940CA7"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23E63510" w14:textId="77777777" w:rsidR="00191AAB" w:rsidRPr="003E2CFD"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518E6048"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5E109035"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3C792A3B"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0F55DF45"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6C6318A1"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$9,000,000.00</w:t>
            </w:r>
          </w:p>
        </w:tc>
        <w:tc>
          <w:tcPr>
            <w:tcW w:w="4173" w:type="dxa"/>
            <w:tcBorders>
              <w:top w:val="single" w:sz="4" w:space="0" w:color="auto"/>
              <w:left w:val="nil"/>
              <w:bottom w:val="single" w:sz="4" w:space="0" w:color="auto"/>
              <w:right w:val="single" w:sz="4" w:space="0" w:color="auto"/>
            </w:tcBorders>
            <w:shd w:val="clear" w:color="auto" w:fill="auto"/>
            <w:vAlign w:val="center"/>
          </w:tcPr>
          <w:p w14:paraId="30B4CC07" w14:textId="77777777" w:rsidR="00191AAB" w:rsidRPr="00E440BE" w:rsidRDefault="00191AAB" w:rsidP="000250B5">
            <w:pPr>
              <w:spacing w:after="0" w:line="240" w:lineRule="auto"/>
              <w:jc w:val="both"/>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 xml:space="preserve">Caso de Expropiación Forzosa. Las Partes con Interés aceptaron oferta de transacción que incluye el traspaso de la titularidad de una parcela de estacionamiento propiedad de la Administración de Terrenos y $150,000 del dinero consignado en el TPI al momento de la expropiación; el TPI aprobó la "Estipulación sobre Transacción" y dictó Sentencia adoptando por referencia el acuerdo entre las Partes. La Administración presentó la correspondiente consulta de transacción de terrenos públicos ante la Junta de Planificación (JP) (Consulta Núm. 2024-18-JGT-0051) para la agrupación de las parcelas de </w:t>
            </w:r>
            <w:r w:rsidRPr="00E440BE">
              <w:rPr>
                <w:rFonts w:ascii="Calibri" w:eastAsia="Times New Roman" w:hAnsi="Calibri" w:cs="Calibri"/>
                <w:color w:val="000000"/>
                <w:kern w:val="0"/>
                <w:sz w:val="16"/>
                <w:szCs w:val="16"/>
                <w14:ligatures w14:val="none"/>
              </w:rPr>
              <w:lastRenderedPageBreak/>
              <w:t>estacionamiento objeto de la estipulación y sentencia, rectificación de cabida y cesión y traspaso. La JP aprobó la consulta, sin embargo, dos de los colindantes del estacionamiento que será traspasado al Condominio San Martín como parte del pago de la justa compensación en el caso de expropiación, solicitaron reconsideración de la determinación de la JP de autorizar la consulta. La Administración se opuso a la solicitud de reconsideración de los colindantes por ser contraria a las disposiciones del Reglamento Conjunto para la Evaluación y Expedición de Permisos relacionados al Desarrollo, Uso de Terrenos y Operación de Negocios, Reglamento Núm. 9473 de la JP, y por constituir una intromisión indebida de los colindantes con los poderes de expropiación de la Administración, y en los derechos y deberes de usar y servirse de o utilizar los bienes inmuebles de su propiedad que considere necesarios o convenientes para realizar sus fines, incluyendo el traspaso. Las acciones de los colindantes constituyen, además, una interferencia con una sentencia por transacción válidamente emitida por un tribunal con jurisdicción. El caso está pendiente ante la JP.</w:t>
            </w:r>
          </w:p>
          <w:p w14:paraId="230405D5" w14:textId="77777777" w:rsidR="00191AAB" w:rsidRPr="00E440BE" w:rsidRDefault="00191AAB" w:rsidP="000250B5">
            <w:pPr>
              <w:spacing w:after="0" w:line="240" w:lineRule="auto"/>
              <w:jc w:val="both"/>
              <w:rPr>
                <w:rFonts w:ascii="Calibri" w:eastAsia="Times New Roman" w:hAnsi="Calibri" w:cs="Calibri"/>
                <w:color w:val="000000"/>
                <w:kern w:val="0"/>
                <w:sz w:val="16"/>
                <w:szCs w:val="16"/>
                <w14:ligatures w14:val="none"/>
              </w:rPr>
            </w:pPr>
          </w:p>
        </w:tc>
      </w:tr>
      <w:tr w:rsidR="00191AAB" w:rsidRPr="003E2CFD" w14:paraId="523643C4"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81CCCA" w14:textId="77777777" w:rsidR="00191AAB" w:rsidRPr="00120D21" w:rsidRDefault="00191AAB" w:rsidP="000250B5">
            <w:pPr>
              <w:spacing w:after="0" w:line="240" w:lineRule="auto"/>
              <w:jc w:val="center"/>
              <w:rPr>
                <w:rFonts w:ascii="Calibri" w:eastAsia="Times New Roman" w:hAnsi="Calibri" w:cs="Calibri"/>
                <w:kern w:val="0"/>
                <w:sz w:val="22"/>
                <w:szCs w:val="22"/>
                <w14:ligatures w14:val="none"/>
              </w:rPr>
            </w:pPr>
            <w:r w:rsidRPr="00120D21">
              <w:rPr>
                <w:rFonts w:ascii="Calibri" w:eastAsia="Times New Roman" w:hAnsi="Calibri" w:cs="Calibri"/>
                <w:kern w:val="0"/>
                <w:sz w:val="22"/>
                <w:szCs w:val="22"/>
                <w14:ligatures w14:val="none"/>
              </w:rPr>
              <w:lastRenderedPageBreak/>
              <w:t xml:space="preserve">Matilde </w:t>
            </w:r>
            <w:proofErr w:type="spellStart"/>
            <w:r w:rsidRPr="00120D21">
              <w:rPr>
                <w:rFonts w:ascii="Calibri" w:eastAsia="Times New Roman" w:hAnsi="Calibri" w:cs="Calibri"/>
                <w:kern w:val="0"/>
                <w:sz w:val="22"/>
                <w:szCs w:val="22"/>
                <w14:ligatures w14:val="none"/>
              </w:rPr>
              <w:t>Arbona</w:t>
            </w:r>
            <w:proofErr w:type="spellEnd"/>
            <w:r w:rsidRPr="00120D21">
              <w:rPr>
                <w:rFonts w:ascii="Calibri" w:eastAsia="Times New Roman" w:hAnsi="Calibri" w:cs="Calibri"/>
                <w:kern w:val="0"/>
                <w:sz w:val="22"/>
                <w:szCs w:val="22"/>
                <w14:ligatures w14:val="none"/>
              </w:rPr>
              <w:t xml:space="preserve"> García y otros, v AT</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4D9A40EA" w14:textId="77777777" w:rsidR="00191AAB" w:rsidRPr="003E2CFD"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31B9418D" w14:textId="77777777" w:rsidR="00191AAB" w:rsidRPr="00C4238E" w:rsidRDefault="00191AAB" w:rsidP="000250B5">
            <w:pPr>
              <w:spacing w:after="0" w:line="240" w:lineRule="auto"/>
              <w:jc w:val="center"/>
              <w:rPr>
                <w:rFonts w:ascii="Calibri" w:eastAsia="Times New Roman" w:hAnsi="Calibri" w:cs="Calibri"/>
                <w:color w:val="000000"/>
                <w:kern w:val="0"/>
                <w:sz w:val="16"/>
                <w:szCs w:val="16"/>
                <w14:ligatures w14:val="none"/>
              </w:rPr>
            </w:pPr>
            <w:r w:rsidRPr="009E2447">
              <w:rPr>
                <w:rFonts w:ascii="Calibri" w:eastAsia="Times New Roman" w:hAnsi="Calibri" w:cs="Calibri"/>
                <w:color w:val="000000"/>
                <w:kern w:val="0"/>
                <w:sz w:val="16"/>
                <w:szCs w:val="16"/>
                <w14:ligatures w14:val="none"/>
              </w:rPr>
              <w:t>A PE2002-0093 (601)</w:t>
            </w: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2B149152" w14:textId="77777777" w:rsidR="00191AAB" w:rsidRPr="00940CA7" w:rsidRDefault="00191AAB" w:rsidP="000250B5">
            <w:pPr>
              <w:spacing w:after="0" w:line="240" w:lineRule="auto"/>
              <w:jc w:val="center"/>
              <w:rPr>
                <w:rFonts w:ascii="Calibri" w:eastAsia="Times New Roman" w:hAnsi="Calibri" w:cs="Calibri"/>
                <w:color w:val="000000"/>
                <w:kern w:val="0"/>
                <w:sz w:val="16"/>
                <w:szCs w:val="16"/>
                <w14:ligatures w14:val="none"/>
              </w:rPr>
            </w:pPr>
            <w:r w:rsidRPr="009E2447">
              <w:rPr>
                <w:rFonts w:ascii="Calibri" w:eastAsia="Times New Roman" w:hAnsi="Calibri" w:cs="Calibri"/>
                <w:color w:val="000000"/>
                <w:kern w:val="0"/>
                <w:sz w:val="16"/>
                <w:szCs w:val="16"/>
                <w14:ligatures w14:val="none"/>
              </w:rPr>
              <w:t>KLCE201900377</w:t>
            </w: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4F17BB20" w14:textId="77777777" w:rsidR="00191AAB" w:rsidRPr="003E2CFD" w:rsidRDefault="00191AAB" w:rsidP="000250B5">
            <w:pPr>
              <w:spacing w:after="0" w:line="240" w:lineRule="auto"/>
              <w:jc w:val="center"/>
              <w:rPr>
                <w:rFonts w:ascii="Calibri" w:eastAsia="Times New Roman" w:hAnsi="Calibri" w:cs="Calibri"/>
                <w:color w:val="000000"/>
                <w:kern w:val="0"/>
                <w:sz w:val="16"/>
                <w:szCs w:val="16"/>
                <w14:ligatures w14:val="none"/>
              </w:rPr>
            </w:pPr>
            <w:r w:rsidRPr="009E2447">
              <w:rPr>
                <w:rFonts w:ascii="Calibri" w:eastAsia="Times New Roman" w:hAnsi="Calibri" w:cs="Calibri"/>
                <w:color w:val="000000"/>
                <w:kern w:val="0"/>
                <w:sz w:val="16"/>
                <w:szCs w:val="16"/>
                <w14:ligatures w14:val="none"/>
              </w:rPr>
              <w:t>CC-2019-0699</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C728746" w14:textId="77777777" w:rsidR="00191AAB" w:rsidRPr="003E2CFD"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0BC81AA" w14:textId="77777777" w:rsidR="00191AAB" w:rsidRPr="00940CA7" w:rsidRDefault="00191AAB" w:rsidP="000250B5">
            <w:pPr>
              <w:spacing w:after="0" w:line="240" w:lineRule="auto"/>
              <w:jc w:val="center"/>
              <w:rPr>
                <w:rFonts w:ascii="Calibri" w:eastAsia="Times New Roman" w:hAnsi="Calibri" w:cs="Calibri"/>
                <w:color w:val="000000"/>
                <w:kern w:val="0"/>
                <w:sz w:val="16"/>
                <w:szCs w:val="16"/>
                <w14:ligatures w14:val="none"/>
              </w:rPr>
            </w:pPr>
            <w:r w:rsidRPr="009E2447">
              <w:rPr>
                <w:rFonts w:ascii="Calibri" w:eastAsia="Times New Roman" w:hAnsi="Calibri" w:cs="Calibri"/>
                <w:color w:val="000000"/>
                <w:kern w:val="0"/>
                <w:sz w:val="16"/>
                <w:szCs w:val="16"/>
                <w14:ligatures w14:val="none"/>
              </w:rPr>
              <w:t>CC-2019-0699</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4AC72C8D" w14:textId="77777777" w:rsidR="00191AAB" w:rsidRPr="003E2CFD"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5604F63D"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176753E9"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720ACBA3"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23331CAF"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7AE031C6"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$3,240,000.00</w:t>
            </w:r>
          </w:p>
        </w:tc>
        <w:tc>
          <w:tcPr>
            <w:tcW w:w="4173" w:type="dxa"/>
            <w:tcBorders>
              <w:top w:val="single" w:sz="4" w:space="0" w:color="auto"/>
              <w:left w:val="nil"/>
              <w:bottom w:val="single" w:sz="4" w:space="0" w:color="auto"/>
              <w:right w:val="single" w:sz="4" w:space="0" w:color="auto"/>
            </w:tcBorders>
            <w:shd w:val="clear" w:color="auto" w:fill="auto"/>
            <w:vAlign w:val="center"/>
          </w:tcPr>
          <w:p w14:paraId="05E26EB9" w14:textId="77777777" w:rsidR="00191AAB" w:rsidRPr="00E440BE" w:rsidRDefault="00EF144F" w:rsidP="000250B5">
            <w:pPr>
              <w:spacing w:after="0" w:line="240" w:lineRule="auto"/>
              <w:jc w:val="both"/>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 xml:space="preserve">Reclamación de Daños y Perjuicios - </w:t>
            </w:r>
            <w:r w:rsidR="00191AAB" w:rsidRPr="00E440BE">
              <w:rPr>
                <w:rFonts w:ascii="Calibri" w:eastAsia="Times New Roman" w:hAnsi="Calibri" w:cs="Calibri"/>
                <w:color w:val="000000"/>
                <w:kern w:val="0"/>
                <w:sz w:val="16"/>
                <w:szCs w:val="16"/>
                <w14:ligatures w14:val="none"/>
              </w:rPr>
              <w:t xml:space="preserve">El Tribunal de Apelaciones revocó el dictamen del TPI que denegó una solicitud de sentencia sumaria por prescripción presentada por la Administración de Terrenos. Inconforme con la Sentencia desestimatoria del Tribunal de Apelaciones, la parte demandante presentó petición de certiorari ante el Tribunal Supremo y el Tribunal Supremo revocó al Tribunal de Apelaciones y reinstaló el dictamen del TPI. Caso paralizado en Instancia, pendiente de que la Sala de Expropiaciones determine el valor de la finca expropiada en el caso K EF2066-0600. Sólo resta el juicio en su fondo.  </w:t>
            </w:r>
          </w:p>
          <w:p w14:paraId="5ABE5100" w14:textId="77777777" w:rsidR="00191AAB" w:rsidRPr="00E440BE" w:rsidRDefault="00191AAB" w:rsidP="000250B5">
            <w:pPr>
              <w:spacing w:after="0" w:line="240" w:lineRule="auto"/>
              <w:jc w:val="both"/>
              <w:rPr>
                <w:rFonts w:ascii="Calibri" w:eastAsia="Times New Roman" w:hAnsi="Calibri" w:cs="Calibri"/>
                <w:color w:val="000000"/>
                <w:kern w:val="0"/>
                <w:sz w:val="16"/>
                <w:szCs w:val="16"/>
                <w14:ligatures w14:val="none"/>
              </w:rPr>
            </w:pPr>
          </w:p>
        </w:tc>
      </w:tr>
      <w:tr w:rsidR="00191AAB" w:rsidRPr="003E2CFD" w14:paraId="469B48BD"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D29D15" w14:textId="77777777" w:rsidR="00191AAB" w:rsidRPr="00120D21" w:rsidRDefault="00191AAB" w:rsidP="000250B5">
            <w:pPr>
              <w:spacing w:after="0" w:line="240" w:lineRule="auto"/>
              <w:jc w:val="center"/>
              <w:rPr>
                <w:rFonts w:ascii="Calibri" w:eastAsia="Times New Roman" w:hAnsi="Calibri" w:cs="Calibri"/>
                <w:kern w:val="0"/>
                <w:sz w:val="22"/>
                <w:szCs w:val="22"/>
                <w14:ligatures w14:val="none"/>
              </w:rPr>
            </w:pPr>
            <w:r w:rsidRPr="00120D21">
              <w:rPr>
                <w:rFonts w:ascii="Calibri" w:eastAsia="Times New Roman" w:hAnsi="Calibri" w:cs="Calibri"/>
                <w:kern w:val="0"/>
                <w:sz w:val="22"/>
                <w:szCs w:val="22"/>
                <w14:ligatures w14:val="none"/>
              </w:rPr>
              <w:t>AT v Sucn. Yolanda García Hermida</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58E0F12A" w14:textId="77777777" w:rsidR="00191AAB" w:rsidRPr="003E2CFD"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4890BD7C" w14:textId="77777777" w:rsidR="00191AAB" w:rsidRPr="009E2447" w:rsidRDefault="00191AAB" w:rsidP="000250B5">
            <w:pPr>
              <w:spacing w:after="0" w:line="240" w:lineRule="auto"/>
              <w:jc w:val="center"/>
              <w:rPr>
                <w:rFonts w:ascii="Calibri" w:eastAsia="Times New Roman" w:hAnsi="Calibri" w:cs="Calibri"/>
                <w:color w:val="000000"/>
                <w:kern w:val="0"/>
                <w:sz w:val="16"/>
                <w:szCs w:val="16"/>
                <w14:ligatures w14:val="none"/>
              </w:rPr>
            </w:pPr>
            <w:r w:rsidRPr="009E2447">
              <w:rPr>
                <w:rFonts w:ascii="Calibri" w:eastAsia="Times New Roman" w:hAnsi="Calibri" w:cs="Calibri"/>
                <w:color w:val="000000"/>
                <w:kern w:val="0"/>
                <w:sz w:val="16"/>
                <w:szCs w:val="16"/>
                <w14:ligatures w14:val="none"/>
              </w:rPr>
              <w:t>K EF2006-0600 (1003)</w:t>
            </w: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73C22718" w14:textId="77777777" w:rsidR="00191AAB" w:rsidRPr="009E2447"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7A62B6E1" w14:textId="77777777" w:rsidR="00191AAB" w:rsidRPr="009E2447"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80EDCFC" w14:textId="77777777" w:rsidR="00191AAB" w:rsidRPr="003E2CFD"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D408424" w14:textId="77777777" w:rsidR="00191AAB" w:rsidRPr="009E2447"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1F1A35B1" w14:textId="77777777" w:rsidR="00191AAB" w:rsidRPr="003E2CFD"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4B8A8E42"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1D805458"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5F3069B1"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5F538E34"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2383581B"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$1,530,000.00</w:t>
            </w:r>
          </w:p>
        </w:tc>
        <w:tc>
          <w:tcPr>
            <w:tcW w:w="4173" w:type="dxa"/>
            <w:tcBorders>
              <w:top w:val="single" w:sz="4" w:space="0" w:color="auto"/>
              <w:left w:val="nil"/>
              <w:bottom w:val="single" w:sz="4" w:space="0" w:color="auto"/>
              <w:right w:val="single" w:sz="4" w:space="0" w:color="auto"/>
            </w:tcBorders>
            <w:shd w:val="clear" w:color="auto" w:fill="auto"/>
            <w:vAlign w:val="center"/>
          </w:tcPr>
          <w:p w14:paraId="00D7B6EA" w14:textId="77777777" w:rsidR="00191AAB" w:rsidRPr="00E440BE" w:rsidRDefault="00191AAB" w:rsidP="000250B5">
            <w:pPr>
              <w:spacing w:after="0" w:line="240" w:lineRule="auto"/>
              <w:jc w:val="both"/>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 xml:space="preserve">Caso de Expropiación forzosa. El Tribunal de Apelaciones revocó, a favor de la Administración de Terrenos, una Resolución del TPI sobre el mejor uso del sujeto; el Tribunal Supremo denegó el recurso de Certiorari presentado por la </w:t>
            </w:r>
            <w:r w:rsidRPr="00E440BE">
              <w:rPr>
                <w:rFonts w:ascii="Calibri" w:eastAsia="Times New Roman" w:hAnsi="Calibri" w:cs="Calibri"/>
                <w:color w:val="000000"/>
                <w:kern w:val="0"/>
                <w:sz w:val="16"/>
                <w:szCs w:val="16"/>
                <w14:ligatures w14:val="none"/>
              </w:rPr>
              <w:lastRenderedPageBreak/>
              <w:t>Parte con Interés. Se celebró Juicio y el caso quedó sometido con memoranda post juicio. El TPI aún no ha dictado sentencia.</w:t>
            </w:r>
          </w:p>
          <w:p w14:paraId="6E90DDD6" w14:textId="77777777" w:rsidR="00191AAB" w:rsidRPr="00E440BE" w:rsidRDefault="00191AAB" w:rsidP="000250B5">
            <w:pPr>
              <w:spacing w:after="0" w:line="240" w:lineRule="auto"/>
              <w:jc w:val="both"/>
              <w:rPr>
                <w:rFonts w:ascii="Calibri" w:eastAsia="Times New Roman" w:hAnsi="Calibri" w:cs="Calibri"/>
                <w:color w:val="000000"/>
                <w:kern w:val="0"/>
                <w:sz w:val="16"/>
                <w:szCs w:val="16"/>
                <w14:ligatures w14:val="none"/>
              </w:rPr>
            </w:pPr>
          </w:p>
        </w:tc>
      </w:tr>
      <w:tr w:rsidR="00191AAB" w:rsidRPr="003E2CFD" w14:paraId="01B53C0F"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42528D" w14:textId="77777777" w:rsidR="00191AAB" w:rsidRPr="00120D21" w:rsidRDefault="00191AAB" w:rsidP="000250B5">
            <w:pPr>
              <w:spacing w:after="0" w:line="240" w:lineRule="auto"/>
              <w:jc w:val="center"/>
              <w:rPr>
                <w:rFonts w:ascii="Calibri" w:eastAsia="Times New Roman" w:hAnsi="Calibri" w:cs="Calibri"/>
                <w:kern w:val="0"/>
                <w:sz w:val="22"/>
                <w:szCs w:val="22"/>
                <w14:ligatures w14:val="none"/>
              </w:rPr>
            </w:pPr>
            <w:r w:rsidRPr="00120D21">
              <w:rPr>
                <w:rFonts w:ascii="Calibri" w:eastAsia="Times New Roman" w:hAnsi="Calibri" w:cs="Calibri"/>
                <w:kern w:val="0"/>
                <w:sz w:val="22"/>
                <w:szCs w:val="22"/>
                <w14:ligatures w14:val="none"/>
              </w:rPr>
              <w:lastRenderedPageBreak/>
              <w:t>AT v Carlos Rosaly Molina</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6165C788" w14:textId="77777777" w:rsidR="00191AAB" w:rsidRPr="003E2CFD"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18A4A438" w14:textId="77777777" w:rsidR="00191AAB" w:rsidRPr="009E2447" w:rsidRDefault="00191AAB" w:rsidP="000250B5">
            <w:pPr>
              <w:spacing w:after="0" w:line="240" w:lineRule="auto"/>
              <w:jc w:val="center"/>
              <w:rPr>
                <w:rFonts w:ascii="Calibri" w:eastAsia="Times New Roman" w:hAnsi="Calibri" w:cs="Calibri"/>
                <w:color w:val="000000"/>
                <w:kern w:val="0"/>
                <w:sz w:val="16"/>
                <w:szCs w:val="16"/>
                <w14:ligatures w14:val="none"/>
              </w:rPr>
            </w:pPr>
            <w:r w:rsidRPr="00BC504E">
              <w:rPr>
                <w:rFonts w:ascii="Calibri" w:eastAsia="Times New Roman" w:hAnsi="Calibri" w:cs="Calibri"/>
                <w:color w:val="000000"/>
                <w:kern w:val="0"/>
                <w:sz w:val="16"/>
                <w:szCs w:val="16"/>
                <w14:ligatures w14:val="none"/>
              </w:rPr>
              <w:t>K PE2008-3007 (807)</w:t>
            </w: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7F3CBCD3" w14:textId="77777777" w:rsidR="00191AAB" w:rsidRPr="009E2447"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5824EB9A" w14:textId="77777777" w:rsidR="00191AAB" w:rsidRPr="009E2447"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B6F6404" w14:textId="77777777" w:rsidR="00191AAB" w:rsidRPr="003E2CFD"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B5CA49A" w14:textId="77777777" w:rsidR="00191AAB" w:rsidRPr="009E2447"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4C2375CC" w14:textId="77777777" w:rsidR="00191AAB" w:rsidRPr="003E2CFD"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076AE263"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2A7BAA30"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653CAC15"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63A287C1"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6D3EE70E"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N/A</w:t>
            </w:r>
          </w:p>
        </w:tc>
        <w:tc>
          <w:tcPr>
            <w:tcW w:w="4173" w:type="dxa"/>
            <w:tcBorders>
              <w:top w:val="single" w:sz="4" w:space="0" w:color="auto"/>
              <w:left w:val="nil"/>
              <w:bottom w:val="single" w:sz="4" w:space="0" w:color="auto"/>
              <w:right w:val="single" w:sz="4" w:space="0" w:color="auto"/>
            </w:tcBorders>
            <w:shd w:val="clear" w:color="auto" w:fill="auto"/>
            <w:vAlign w:val="center"/>
          </w:tcPr>
          <w:p w14:paraId="2132EC2A" w14:textId="77777777" w:rsidR="00191AAB" w:rsidRPr="00E440BE" w:rsidRDefault="00191AAB" w:rsidP="000250B5">
            <w:pPr>
              <w:spacing w:after="0" w:line="240" w:lineRule="auto"/>
              <w:jc w:val="both"/>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El caso está pendiente del resultado de conversaciones transaccionales entre el Municipio de San Juan y el Demandado. La Administración de Terrenos cedió los terrenos en controversia al Municipio de San Juan; no tendría que desembolsar cantidad alguna de dinero por concepto de sentencia o estipulación. De hecho, el TPI eximió a la Administración de comparecer en el caso, puesto que el MSJ estaba atendiendo el caso.</w:t>
            </w:r>
          </w:p>
          <w:p w14:paraId="399AC646" w14:textId="77777777" w:rsidR="00191AAB" w:rsidRPr="00E440BE" w:rsidRDefault="00191AAB" w:rsidP="000250B5">
            <w:pPr>
              <w:spacing w:after="0" w:line="240" w:lineRule="auto"/>
              <w:jc w:val="both"/>
              <w:rPr>
                <w:rFonts w:ascii="Calibri" w:eastAsia="Times New Roman" w:hAnsi="Calibri" w:cs="Calibri"/>
                <w:color w:val="000000"/>
                <w:kern w:val="0"/>
                <w:sz w:val="16"/>
                <w:szCs w:val="16"/>
                <w14:ligatures w14:val="none"/>
              </w:rPr>
            </w:pPr>
          </w:p>
        </w:tc>
      </w:tr>
      <w:tr w:rsidR="00191AAB" w:rsidRPr="003E2CFD" w14:paraId="11A99151"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CDA9A6" w14:textId="77777777" w:rsidR="00191AAB" w:rsidRPr="00120D21" w:rsidRDefault="00191AAB" w:rsidP="000250B5">
            <w:pPr>
              <w:spacing w:after="0" w:line="240" w:lineRule="auto"/>
              <w:jc w:val="center"/>
              <w:rPr>
                <w:rFonts w:ascii="Calibri" w:eastAsia="Times New Roman" w:hAnsi="Calibri" w:cs="Calibri"/>
                <w:kern w:val="0"/>
                <w:sz w:val="22"/>
                <w:szCs w:val="22"/>
                <w14:ligatures w14:val="none"/>
              </w:rPr>
            </w:pPr>
            <w:r w:rsidRPr="00120D21">
              <w:rPr>
                <w:rFonts w:ascii="Calibri" w:eastAsia="Times New Roman" w:hAnsi="Calibri" w:cs="Calibri"/>
                <w:kern w:val="0"/>
                <w:sz w:val="22"/>
                <w:szCs w:val="22"/>
                <w14:ligatures w14:val="none"/>
              </w:rPr>
              <w:t>AT v Cooperativa de Estacionamiento Intendente Alejandro Ramírez</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0CF20081" w14:textId="77777777" w:rsidR="00191AAB" w:rsidRPr="003E2CFD"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3B0A0C03" w14:textId="77777777" w:rsidR="00191AAB" w:rsidRPr="00BC504E" w:rsidRDefault="00191AAB" w:rsidP="000250B5">
            <w:pPr>
              <w:spacing w:after="0" w:line="240" w:lineRule="auto"/>
              <w:jc w:val="center"/>
              <w:rPr>
                <w:rFonts w:ascii="Calibri" w:eastAsia="Times New Roman" w:hAnsi="Calibri" w:cs="Calibri"/>
                <w:color w:val="000000"/>
                <w:kern w:val="0"/>
                <w:sz w:val="16"/>
                <w:szCs w:val="16"/>
                <w14:ligatures w14:val="none"/>
              </w:rPr>
            </w:pPr>
            <w:r w:rsidRPr="00BC504E">
              <w:rPr>
                <w:rFonts w:ascii="Calibri" w:eastAsia="Times New Roman" w:hAnsi="Calibri" w:cs="Calibri"/>
                <w:color w:val="000000"/>
                <w:kern w:val="0"/>
                <w:sz w:val="16"/>
                <w:szCs w:val="16"/>
                <w14:ligatures w14:val="none"/>
              </w:rPr>
              <w:t>SJ2019cv09312</w:t>
            </w: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0B7B9CF2" w14:textId="77777777" w:rsidR="00191AAB" w:rsidRPr="009E2447"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204098D4" w14:textId="77777777" w:rsidR="00191AAB" w:rsidRPr="009E2447"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933B73C" w14:textId="77777777" w:rsidR="00191AAB" w:rsidRPr="003E2CFD"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00957CF" w14:textId="77777777" w:rsidR="00191AAB" w:rsidRPr="009E2447"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017A5FF8" w14:textId="77777777" w:rsidR="00191AAB" w:rsidRPr="003E2CFD"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4EC05050"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42D5DC6E"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217647A6"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51A75D0E"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1CA9D34E"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$2,272,822.33</w:t>
            </w:r>
          </w:p>
        </w:tc>
        <w:tc>
          <w:tcPr>
            <w:tcW w:w="4173" w:type="dxa"/>
            <w:tcBorders>
              <w:top w:val="single" w:sz="4" w:space="0" w:color="auto"/>
              <w:left w:val="nil"/>
              <w:bottom w:val="single" w:sz="4" w:space="0" w:color="auto"/>
              <w:right w:val="single" w:sz="4" w:space="0" w:color="auto"/>
            </w:tcBorders>
            <w:shd w:val="clear" w:color="auto" w:fill="auto"/>
            <w:vAlign w:val="center"/>
          </w:tcPr>
          <w:p w14:paraId="3A1C1C6C" w14:textId="77777777" w:rsidR="00191AAB" w:rsidRPr="00E440BE" w:rsidRDefault="00191AAB" w:rsidP="000250B5">
            <w:pPr>
              <w:spacing w:after="0" w:line="240" w:lineRule="auto"/>
              <w:jc w:val="both"/>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Demanda presentada por la Administración de Terrenos para reclamar cantidades por concepto de Enriquecimiento Injusto y el pago de contribuciones de la propiedad relacionadas con el uso no autorizado de una parcela propiedad de la Administración y su explotación como negocio de estacionamiento. La Demandada solicitó la Desestimación, la Administración se opuso y el TPI denegó la desestimación. La Administración presentó Moción de Sentencia Sumaria, el TPI denegó la Sentencia Sumaria y el Tribunal de Apelaciones confirmó la denegatoria. La Administración desistió de la Demanda. La Administración y el Departamento de Hacienda otorgaron un contrato de arrendamiento de la parcela. Por otro lado, la Administración otorgó un contrato de desarrollo que incluye la parcela en cuestión. El caso está cerrado.</w:t>
            </w:r>
          </w:p>
          <w:p w14:paraId="637B20D7" w14:textId="77777777" w:rsidR="00191AAB" w:rsidRPr="00E440BE" w:rsidRDefault="00191AAB" w:rsidP="000250B5">
            <w:pPr>
              <w:spacing w:after="0" w:line="240" w:lineRule="auto"/>
              <w:jc w:val="both"/>
              <w:rPr>
                <w:rFonts w:ascii="Calibri" w:eastAsia="Times New Roman" w:hAnsi="Calibri" w:cs="Calibri"/>
                <w:color w:val="000000"/>
                <w:kern w:val="0"/>
                <w:sz w:val="16"/>
                <w:szCs w:val="16"/>
                <w14:ligatures w14:val="none"/>
              </w:rPr>
            </w:pPr>
          </w:p>
          <w:p w14:paraId="05A7CE7F" w14:textId="77777777" w:rsidR="00191AAB" w:rsidRPr="00E440BE" w:rsidRDefault="00191AAB" w:rsidP="000250B5">
            <w:pPr>
              <w:spacing w:after="0" w:line="240" w:lineRule="auto"/>
              <w:jc w:val="both"/>
              <w:rPr>
                <w:rFonts w:ascii="Calibri" w:eastAsia="Times New Roman" w:hAnsi="Calibri" w:cs="Calibri"/>
                <w:color w:val="000000"/>
                <w:kern w:val="0"/>
                <w:sz w:val="16"/>
                <w:szCs w:val="16"/>
                <w14:ligatures w14:val="none"/>
              </w:rPr>
            </w:pPr>
          </w:p>
        </w:tc>
      </w:tr>
      <w:tr w:rsidR="00191AAB" w:rsidRPr="003E2CFD" w14:paraId="0DA14B94"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38863A" w14:textId="77777777" w:rsidR="00191AAB" w:rsidRPr="00120D21" w:rsidRDefault="00191AAB" w:rsidP="000250B5">
            <w:pPr>
              <w:spacing w:after="0" w:line="240" w:lineRule="auto"/>
              <w:jc w:val="center"/>
              <w:rPr>
                <w:rFonts w:ascii="Calibri" w:eastAsia="Times New Roman" w:hAnsi="Calibri" w:cs="Calibri"/>
                <w:kern w:val="0"/>
                <w:sz w:val="22"/>
                <w:szCs w:val="22"/>
                <w14:ligatures w14:val="none"/>
              </w:rPr>
            </w:pPr>
            <w:r w:rsidRPr="00120D21">
              <w:rPr>
                <w:rFonts w:ascii="Calibri" w:eastAsia="Times New Roman" w:hAnsi="Calibri" w:cs="Calibri"/>
                <w:kern w:val="0"/>
                <w:sz w:val="22"/>
                <w:szCs w:val="22"/>
                <w14:ligatures w14:val="none"/>
              </w:rPr>
              <w:t>AT v Municipio de San Juan</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60822294" w14:textId="77777777" w:rsidR="00191AAB" w:rsidRPr="003E2CFD"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7B757ADA" w14:textId="77777777" w:rsidR="00191AAB" w:rsidRPr="00BC504E" w:rsidRDefault="00191AAB" w:rsidP="000250B5">
            <w:pPr>
              <w:spacing w:after="0" w:line="240" w:lineRule="auto"/>
              <w:jc w:val="center"/>
              <w:rPr>
                <w:rFonts w:ascii="Calibri" w:eastAsia="Times New Roman" w:hAnsi="Calibri" w:cs="Calibri"/>
                <w:color w:val="000000"/>
                <w:kern w:val="0"/>
                <w:sz w:val="16"/>
                <w:szCs w:val="16"/>
                <w14:ligatures w14:val="none"/>
              </w:rPr>
            </w:pPr>
            <w:r w:rsidRPr="00BC504E">
              <w:rPr>
                <w:rFonts w:ascii="Calibri" w:eastAsia="Times New Roman" w:hAnsi="Calibri" w:cs="Calibri"/>
                <w:color w:val="000000"/>
                <w:kern w:val="0"/>
                <w:sz w:val="16"/>
                <w:szCs w:val="16"/>
                <w14:ligatures w14:val="none"/>
              </w:rPr>
              <w:t>SJ2020cv02359</w:t>
            </w: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64F6FD65" w14:textId="77777777" w:rsidR="00191AAB" w:rsidRPr="009E2447" w:rsidRDefault="00191AAB" w:rsidP="000250B5">
            <w:pPr>
              <w:spacing w:after="0" w:line="240" w:lineRule="auto"/>
              <w:jc w:val="center"/>
              <w:rPr>
                <w:rFonts w:ascii="Calibri" w:eastAsia="Times New Roman" w:hAnsi="Calibri" w:cs="Calibri"/>
                <w:color w:val="000000"/>
                <w:kern w:val="0"/>
                <w:sz w:val="16"/>
                <w:szCs w:val="16"/>
                <w14:ligatures w14:val="none"/>
              </w:rPr>
            </w:pPr>
            <w:r w:rsidRPr="00BC504E">
              <w:rPr>
                <w:rFonts w:ascii="Calibri" w:eastAsia="Times New Roman" w:hAnsi="Calibri" w:cs="Calibri"/>
                <w:color w:val="000000"/>
                <w:kern w:val="0"/>
                <w:sz w:val="16"/>
                <w:szCs w:val="16"/>
                <w14:ligatures w14:val="none"/>
              </w:rPr>
              <w:t>KLAN202200370</w:t>
            </w: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726403CC" w14:textId="77777777" w:rsidR="00191AAB" w:rsidRPr="009E2447" w:rsidRDefault="00191AAB" w:rsidP="000250B5">
            <w:pPr>
              <w:spacing w:after="0" w:line="240" w:lineRule="auto"/>
              <w:jc w:val="center"/>
              <w:rPr>
                <w:rFonts w:ascii="Calibri" w:eastAsia="Times New Roman" w:hAnsi="Calibri" w:cs="Calibri"/>
                <w:color w:val="000000"/>
                <w:kern w:val="0"/>
                <w:sz w:val="16"/>
                <w:szCs w:val="16"/>
                <w14:ligatures w14:val="none"/>
              </w:rPr>
            </w:pPr>
            <w:r w:rsidRPr="00BC504E">
              <w:rPr>
                <w:rFonts w:ascii="Calibri" w:eastAsia="Times New Roman" w:hAnsi="Calibri" w:cs="Calibri"/>
                <w:color w:val="000000"/>
                <w:kern w:val="0"/>
                <w:sz w:val="16"/>
                <w:szCs w:val="16"/>
                <w14:ligatures w14:val="none"/>
              </w:rPr>
              <w:t>CC-2022-0586</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1F2AFD6" w14:textId="77777777" w:rsidR="00191AAB" w:rsidRPr="003E2CFD"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650487B" w14:textId="77777777" w:rsidR="00191AAB" w:rsidRPr="009E2447" w:rsidRDefault="00191AAB" w:rsidP="000250B5">
            <w:pPr>
              <w:spacing w:after="0" w:line="240" w:lineRule="auto"/>
              <w:jc w:val="center"/>
              <w:rPr>
                <w:rFonts w:ascii="Calibri" w:eastAsia="Times New Roman" w:hAnsi="Calibri" w:cs="Calibri"/>
                <w:color w:val="000000"/>
                <w:kern w:val="0"/>
                <w:sz w:val="16"/>
                <w:szCs w:val="16"/>
                <w14:ligatures w14:val="none"/>
              </w:rPr>
            </w:pPr>
            <w:r w:rsidRPr="00BC504E">
              <w:rPr>
                <w:rFonts w:ascii="Calibri" w:eastAsia="Times New Roman" w:hAnsi="Calibri" w:cs="Calibri"/>
                <w:color w:val="000000"/>
                <w:kern w:val="0"/>
                <w:sz w:val="16"/>
                <w:szCs w:val="16"/>
                <w14:ligatures w14:val="none"/>
              </w:rPr>
              <w:t>CC-2022-0586</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60F9892D" w14:textId="77777777" w:rsidR="00191AAB" w:rsidRPr="003E2CFD"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601062CE"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6FAB6268"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1CEB2D5D"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05380CC0"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524DCB8F"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N/A</w:t>
            </w:r>
          </w:p>
        </w:tc>
        <w:tc>
          <w:tcPr>
            <w:tcW w:w="4173" w:type="dxa"/>
            <w:tcBorders>
              <w:top w:val="single" w:sz="4" w:space="0" w:color="auto"/>
              <w:left w:val="nil"/>
              <w:bottom w:val="single" w:sz="4" w:space="0" w:color="auto"/>
              <w:right w:val="single" w:sz="4" w:space="0" w:color="auto"/>
            </w:tcBorders>
            <w:shd w:val="clear" w:color="auto" w:fill="auto"/>
            <w:vAlign w:val="center"/>
          </w:tcPr>
          <w:p w14:paraId="0D87146E" w14:textId="77777777" w:rsidR="00191AAB" w:rsidRPr="00E440BE" w:rsidRDefault="00191AAB" w:rsidP="005C4726">
            <w:pPr>
              <w:spacing w:after="0" w:line="240" w:lineRule="auto"/>
              <w:jc w:val="both"/>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 xml:space="preserve">Demanda de Mandamus presentada por la Administración de Terrenos para solicitar que se le ordenara al Municipio de San Juan el cumplimiento con la Resolución Conjunta 15-2017 que requiere la transferencia de un inmueble conocido como Antiguo Edificio Sede del Departamento de Salud a la Administración. El MSJ </w:t>
            </w:r>
            <w:r w:rsidR="000250B5" w:rsidRPr="00E440BE">
              <w:rPr>
                <w:rFonts w:ascii="Calibri" w:eastAsia="Times New Roman" w:hAnsi="Calibri" w:cs="Calibri"/>
                <w:color w:val="000000"/>
                <w:kern w:val="0"/>
                <w:sz w:val="16"/>
                <w:szCs w:val="16"/>
                <w14:ligatures w14:val="none"/>
              </w:rPr>
              <w:t>entregó</w:t>
            </w:r>
            <w:r w:rsidRPr="00E440BE">
              <w:rPr>
                <w:rFonts w:ascii="Calibri" w:eastAsia="Times New Roman" w:hAnsi="Calibri" w:cs="Calibri"/>
                <w:color w:val="000000"/>
                <w:kern w:val="0"/>
                <w:sz w:val="16"/>
                <w:szCs w:val="16"/>
                <w14:ligatures w14:val="none"/>
              </w:rPr>
              <w:t xml:space="preserve"> la posesión del inmueble, pero no traspasó la titularidad a pesar de múltiples gestiones de la Administración. El MSJ solicitó la desestimación por el fundamento de que la Resolución Conjunta era </w:t>
            </w:r>
            <w:r w:rsidRPr="00E440BE">
              <w:rPr>
                <w:rFonts w:ascii="Calibri" w:eastAsia="Times New Roman" w:hAnsi="Calibri" w:cs="Calibri"/>
                <w:color w:val="000000"/>
                <w:kern w:val="0"/>
                <w:sz w:val="16"/>
                <w:szCs w:val="16"/>
                <w14:ligatures w14:val="none"/>
              </w:rPr>
              <w:lastRenderedPageBreak/>
              <w:t>inconstitucional. La Administración presentó oposición a la desestimación y presentó Moción de Sentencia Sumaria. El TPI determinó que, para efectos de la desestimación y de la sentencia sumaria, debían considerarse como ciertas las alegaciones de la Administración de Terrenos y que el MSJ no controvirtió los hechos esenciales y pertinentes. Según solicitado por el TPI, la Administración acreditó que la Resolución Conjunta 15-2017 fue sometida a la Junta de Supervisión Fiscal. El TPI dictó Sentencia a favor de la Administración, la cual fue confirmada por el Tribunal de Apelaciones. El MSJ acudió al Tribunal Supremo, pero luego desistió del recurso de Certiorari y otorgaron la escritura de traspaso a favor de la Administración. El caso está cerrado.</w:t>
            </w:r>
          </w:p>
          <w:p w14:paraId="12276D85" w14:textId="77777777" w:rsidR="00191AAB" w:rsidRPr="00E440BE" w:rsidRDefault="00191AAB" w:rsidP="000250B5">
            <w:pPr>
              <w:spacing w:after="0" w:line="240" w:lineRule="auto"/>
              <w:jc w:val="both"/>
              <w:rPr>
                <w:rFonts w:ascii="Calibri" w:eastAsia="Times New Roman" w:hAnsi="Calibri" w:cs="Calibri"/>
                <w:color w:val="000000"/>
                <w:kern w:val="0"/>
                <w:sz w:val="16"/>
                <w:szCs w:val="16"/>
                <w14:ligatures w14:val="none"/>
              </w:rPr>
            </w:pPr>
          </w:p>
        </w:tc>
      </w:tr>
      <w:tr w:rsidR="00191AAB" w:rsidRPr="003E2CFD" w14:paraId="1CF2A28E"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DD3272" w14:textId="77777777" w:rsidR="00191AAB" w:rsidRPr="00120D21" w:rsidRDefault="00191AAB" w:rsidP="000250B5">
            <w:pPr>
              <w:spacing w:after="0" w:line="240" w:lineRule="auto"/>
              <w:jc w:val="center"/>
              <w:rPr>
                <w:rFonts w:ascii="Calibri" w:eastAsia="Times New Roman" w:hAnsi="Calibri" w:cs="Calibri"/>
                <w:kern w:val="0"/>
                <w:sz w:val="22"/>
                <w:szCs w:val="22"/>
                <w:lang w:val="en-US"/>
                <w14:ligatures w14:val="none"/>
              </w:rPr>
            </w:pPr>
            <w:r w:rsidRPr="00120D21">
              <w:rPr>
                <w:rFonts w:ascii="Calibri" w:eastAsia="Times New Roman" w:hAnsi="Calibri" w:cs="Calibri"/>
                <w:kern w:val="0"/>
                <w:sz w:val="22"/>
                <w:szCs w:val="22"/>
                <w:lang w:val="en-US"/>
                <w14:ligatures w14:val="none"/>
              </w:rPr>
              <w:lastRenderedPageBreak/>
              <w:t>AT v Rama Terminal Development</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63E53CC4" w14:textId="77777777" w:rsidR="00191AAB" w:rsidRPr="00F13E8E" w:rsidRDefault="00191AAB" w:rsidP="000250B5">
            <w:pPr>
              <w:spacing w:after="0" w:line="240" w:lineRule="auto"/>
              <w:jc w:val="center"/>
              <w:rPr>
                <w:rFonts w:ascii="Calibri" w:eastAsia="Times New Roman" w:hAnsi="Calibri" w:cs="Calibri"/>
                <w:color w:val="000000"/>
                <w:kern w:val="0"/>
                <w:sz w:val="16"/>
                <w:szCs w:val="16"/>
                <w:lang w:val="en-US"/>
                <w14:ligatures w14:val="none"/>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6C59270F" w14:textId="77777777" w:rsidR="00191AAB" w:rsidRPr="00BC504E" w:rsidRDefault="00191AAB" w:rsidP="000250B5">
            <w:pPr>
              <w:spacing w:after="0" w:line="240" w:lineRule="auto"/>
              <w:jc w:val="center"/>
              <w:rPr>
                <w:rFonts w:ascii="Calibri" w:eastAsia="Times New Roman" w:hAnsi="Calibri" w:cs="Calibri"/>
                <w:color w:val="000000"/>
                <w:kern w:val="0"/>
                <w:sz w:val="16"/>
                <w:szCs w:val="16"/>
                <w14:ligatures w14:val="none"/>
              </w:rPr>
            </w:pPr>
            <w:r w:rsidRPr="00236B17">
              <w:rPr>
                <w:rFonts w:ascii="Calibri" w:eastAsia="Times New Roman" w:hAnsi="Calibri" w:cs="Calibri"/>
                <w:color w:val="000000"/>
                <w:kern w:val="0"/>
                <w:sz w:val="16"/>
                <w:szCs w:val="16"/>
                <w14:ligatures w14:val="none"/>
              </w:rPr>
              <w:t>K EF2008-0134</w:t>
            </w: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333C4DF5" w14:textId="77777777" w:rsidR="00191AAB" w:rsidRPr="00BC504E"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2B876BE0" w14:textId="77777777" w:rsidR="00191AAB" w:rsidRPr="00BC504E"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54228E0" w14:textId="77777777" w:rsidR="00191AAB" w:rsidRPr="003E2CFD"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626CB34" w14:textId="77777777" w:rsidR="00191AAB" w:rsidRPr="00BC504E"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294E5BB7" w14:textId="77777777" w:rsidR="00191AAB" w:rsidRPr="003E2CFD"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3E213C72"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1C18A766"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78DAC08E"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7B19F2E1"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2D87A623"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$142,779.76</w:t>
            </w:r>
          </w:p>
        </w:tc>
        <w:tc>
          <w:tcPr>
            <w:tcW w:w="4173" w:type="dxa"/>
            <w:tcBorders>
              <w:top w:val="single" w:sz="4" w:space="0" w:color="auto"/>
              <w:left w:val="nil"/>
              <w:bottom w:val="single" w:sz="4" w:space="0" w:color="auto"/>
              <w:right w:val="single" w:sz="4" w:space="0" w:color="auto"/>
            </w:tcBorders>
            <w:shd w:val="clear" w:color="auto" w:fill="auto"/>
            <w:vAlign w:val="center"/>
          </w:tcPr>
          <w:p w14:paraId="47FD650E" w14:textId="77777777" w:rsidR="00191AAB" w:rsidRPr="00E440BE" w:rsidRDefault="00191AAB" w:rsidP="005C4726">
            <w:pPr>
              <w:spacing w:after="0" w:line="240" w:lineRule="auto"/>
              <w:jc w:val="both"/>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Caso de expropiación forzosa que fue transigido en 2014 por las cantidades depositadas con la Petición y retiradas por la Parte con Interés; el TPI dictó sentencia. La Parte con Interés reclamó una cantidad depositada en el TPI que le corresponde a la Administración debido a que se refieren a pagos efectuados por el Departamento de Justicia a la Parte con Interés en concepto de cánones de arrendamiento aun cuando la propiedad había sido expropiada. A pesar de la oposición de la Administración, el TPI concedió a la Parte con Interés el dinero depositado. El caso está cerrado.</w:t>
            </w:r>
          </w:p>
          <w:p w14:paraId="5F1AA9D8" w14:textId="77777777" w:rsidR="00191AAB" w:rsidRPr="00E440BE" w:rsidRDefault="00191AAB" w:rsidP="000250B5">
            <w:pPr>
              <w:spacing w:after="0" w:line="240" w:lineRule="auto"/>
              <w:jc w:val="both"/>
              <w:rPr>
                <w:rFonts w:ascii="Calibri" w:eastAsia="Times New Roman" w:hAnsi="Calibri" w:cs="Calibri"/>
                <w:color w:val="000000"/>
                <w:kern w:val="0"/>
                <w:sz w:val="16"/>
                <w:szCs w:val="16"/>
                <w14:ligatures w14:val="none"/>
              </w:rPr>
            </w:pPr>
          </w:p>
        </w:tc>
      </w:tr>
      <w:tr w:rsidR="00191AAB" w:rsidRPr="003E2CFD" w14:paraId="5B188D3B"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2E852" w14:textId="77777777" w:rsidR="00191AAB" w:rsidRPr="00120D21" w:rsidRDefault="00191AAB" w:rsidP="000250B5">
            <w:pPr>
              <w:spacing w:after="0" w:line="240" w:lineRule="auto"/>
              <w:jc w:val="center"/>
              <w:rPr>
                <w:rFonts w:ascii="Calibri" w:eastAsia="Times New Roman" w:hAnsi="Calibri" w:cs="Calibri"/>
                <w:kern w:val="0"/>
                <w:sz w:val="22"/>
                <w:szCs w:val="22"/>
                <w14:ligatures w14:val="none"/>
              </w:rPr>
            </w:pPr>
            <w:r w:rsidRPr="00120D21">
              <w:rPr>
                <w:rFonts w:ascii="Calibri" w:eastAsia="Times New Roman" w:hAnsi="Calibri" w:cs="Calibri"/>
                <w:kern w:val="0"/>
                <w:sz w:val="22"/>
                <w:szCs w:val="22"/>
                <w14:ligatures w14:val="none"/>
              </w:rPr>
              <w:t>AT v. Sucn. Pablo Castro Gómez</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3EA7573F" w14:textId="77777777" w:rsidR="00191AAB" w:rsidRPr="003E2CFD"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34CAF456" w14:textId="77777777" w:rsidR="00191AAB" w:rsidRPr="00236B17" w:rsidRDefault="00191AAB" w:rsidP="000250B5">
            <w:pPr>
              <w:spacing w:after="0" w:line="240" w:lineRule="auto"/>
              <w:jc w:val="center"/>
              <w:rPr>
                <w:rFonts w:ascii="Calibri" w:eastAsia="Times New Roman" w:hAnsi="Calibri" w:cs="Calibri"/>
                <w:color w:val="000000"/>
                <w:kern w:val="0"/>
                <w:sz w:val="16"/>
                <w:szCs w:val="16"/>
                <w14:ligatures w14:val="none"/>
              </w:rPr>
            </w:pPr>
            <w:r w:rsidRPr="00236B17">
              <w:rPr>
                <w:rFonts w:ascii="Calibri" w:eastAsia="Times New Roman" w:hAnsi="Calibri" w:cs="Calibri"/>
                <w:color w:val="000000"/>
                <w:kern w:val="0"/>
                <w:sz w:val="16"/>
                <w:szCs w:val="16"/>
                <w14:ligatures w14:val="none"/>
              </w:rPr>
              <w:t>K EF2015-0105</w:t>
            </w: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690C6905" w14:textId="77777777" w:rsidR="00191AAB" w:rsidRPr="00BC504E"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1C25E698" w14:textId="77777777" w:rsidR="00191AAB" w:rsidRPr="00BC504E"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50C1FC5" w14:textId="77777777" w:rsidR="00191AAB" w:rsidRPr="003E2CFD"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D2BBE80" w14:textId="77777777" w:rsidR="00191AAB" w:rsidRPr="00BC504E"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423830F5" w14:textId="77777777" w:rsidR="00191AAB" w:rsidRPr="003E2CFD"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00BAF59C"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1F6D038B"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342DA2DF"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55CE0CE8"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5CD1F1D7"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$2,800</w:t>
            </w:r>
          </w:p>
        </w:tc>
        <w:tc>
          <w:tcPr>
            <w:tcW w:w="4173" w:type="dxa"/>
            <w:tcBorders>
              <w:top w:val="single" w:sz="4" w:space="0" w:color="auto"/>
              <w:left w:val="nil"/>
              <w:bottom w:val="single" w:sz="4" w:space="0" w:color="auto"/>
              <w:right w:val="single" w:sz="4" w:space="0" w:color="auto"/>
            </w:tcBorders>
            <w:shd w:val="clear" w:color="auto" w:fill="auto"/>
            <w:vAlign w:val="center"/>
          </w:tcPr>
          <w:p w14:paraId="7D37A742" w14:textId="77777777" w:rsidR="00191AAB" w:rsidRPr="00E440BE" w:rsidRDefault="00191AAB" w:rsidP="000250B5">
            <w:pPr>
              <w:spacing w:after="0" w:line="240" w:lineRule="auto"/>
              <w:jc w:val="both"/>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Expropiación Forzosa (Plan de Desarrollo de Cantera) La Vista de Edicto se celebró el 2 de septiembre de 2021 el TPI dictó Sentencia el 7 de septiembre de 2021. El caso está cerrado.</w:t>
            </w:r>
          </w:p>
        </w:tc>
      </w:tr>
      <w:tr w:rsidR="00191AAB" w:rsidRPr="003E2CFD" w14:paraId="1132DD6E"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EEECD2" w14:textId="77777777" w:rsidR="00191AAB" w:rsidRPr="00120D21" w:rsidRDefault="00191AAB" w:rsidP="000250B5">
            <w:pPr>
              <w:spacing w:after="0" w:line="240" w:lineRule="auto"/>
              <w:jc w:val="center"/>
              <w:rPr>
                <w:rFonts w:ascii="Calibri" w:eastAsia="Times New Roman" w:hAnsi="Calibri" w:cs="Calibri"/>
                <w:kern w:val="0"/>
                <w:sz w:val="22"/>
                <w:szCs w:val="22"/>
                <w14:ligatures w14:val="none"/>
              </w:rPr>
            </w:pPr>
            <w:r w:rsidRPr="00120D21">
              <w:rPr>
                <w:rFonts w:ascii="Calibri" w:eastAsia="Times New Roman" w:hAnsi="Calibri" w:cs="Calibri"/>
                <w:kern w:val="0"/>
                <w:sz w:val="22"/>
                <w:szCs w:val="22"/>
                <w14:ligatures w14:val="none"/>
              </w:rPr>
              <w:t>AT v. Sucn. Dolores González Rivera</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04000CB5" w14:textId="77777777" w:rsidR="00191AAB" w:rsidRPr="003E2CFD"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10F43C1F" w14:textId="77777777" w:rsidR="00191AAB" w:rsidRPr="00236B17" w:rsidRDefault="00191AAB" w:rsidP="000250B5">
            <w:pPr>
              <w:spacing w:after="0" w:line="240" w:lineRule="auto"/>
              <w:jc w:val="center"/>
              <w:rPr>
                <w:rFonts w:ascii="Calibri" w:eastAsia="Times New Roman" w:hAnsi="Calibri" w:cs="Calibri"/>
                <w:color w:val="000000"/>
                <w:kern w:val="0"/>
                <w:sz w:val="16"/>
                <w:szCs w:val="16"/>
                <w14:ligatures w14:val="none"/>
              </w:rPr>
            </w:pPr>
            <w:r w:rsidRPr="00236B17">
              <w:rPr>
                <w:rFonts w:ascii="Calibri" w:eastAsia="Times New Roman" w:hAnsi="Calibri" w:cs="Calibri"/>
                <w:color w:val="000000"/>
                <w:kern w:val="0"/>
                <w:sz w:val="16"/>
                <w:szCs w:val="16"/>
                <w14:ligatures w14:val="none"/>
              </w:rPr>
              <w:t>K</w:t>
            </w:r>
            <w:r w:rsidR="00D50828">
              <w:rPr>
                <w:rFonts w:ascii="Calibri" w:eastAsia="Times New Roman" w:hAnsi="Calibri" w:cs="Calibri"/>
                <w:color w:val="000000"/>
                <w:kern w:val="0"/>
                <w:sz w:val="16"/>
                <w:szCs w:val="16"/>
                <w14:ligatures w14:val="none"/>
              </w:rPr>
              <w:t xml:space="preserve"> </w:t>
            </w:r>
            <w:r w:rsidRPr="00236B17">
              <w:rPr>
                <w:rFonts w:ascii="Calibri" w:eastAsia="Times New Roman" w:hAnsi="Calibri" w:cs="Calibri"/>
                <w:color w:val="000000"/>
                <w:kern w:val="0"/>
                <w:sz w:val="16"/>
                <w:szCs w:val="16"/>
                <w14:ligatures w14:val="none"/>
              </w:rPr>
              <w:t>EF2015-0101</w:t>
            </w: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04B325DE" w14:textId="77777777" w:rsidR="00191AAB" w:rsidRPr="00BC504E"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67C05664" w14:textId="77777777" w:rsidR="00191AAB" w:rsidRPr="00BC504E"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8BF22A1" w14:textId="77777777" w:rsidR="00191AAB" w:rsidRPr="003E2CFD"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7A04E55" w14:textId="77777777" w:rsidR="00191AAB" w:rsidRPr="00BC504E"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1BE9F689" w14:textId="77777777" w:rsidR="00191AAB" w:rsidRPr="003E2CFD"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79A3AF92"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17937106"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0E63A5C2"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1FDACE42"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28277818"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$15,000</w:t>
            </w:r>
          </w:p>
        </w:tc>
        <w:tc>
          <w:tcPr>
            <w:tcW w:w="4173" w:type="dxa"/>
            <w:tcBorders>
              <w:top w:val="single" w:sz="4" w:space="0" w:color="auto"/>
              <w:left w:val="nil"/>
              <w:bottom w:val="single" w:sz="4" w:space="0" w:color="auto"/>
              <w:right w:val="single" w:sz="4" w:space="0" w:color="auto"/>
            </w:tcBorders>
            <w:shd w:val="clear" w:color="auto" w:fill="auto"/>
            <w:vAlign w:val="center"/>
          </w:tcPr>
          <w:p w14:paraId="0D36FA74" w14:textId="77777777" w:rsidR="00191AAB" w:rsidRPr="00E440BE" w:rsidRDefault="00191AAB" w:rsidP="000250B5">
            <w:pPr>
              <w:spacing w:after="0" w:line="240" w:lineRule="auto"/>
              <w:jc w:val="both"/>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Expropiación Forzosa (Plan de Desarrollo de Cantera) La Vista de Edicto se celebró el 9 de marzo de 2023; el TPI dictó Sentencia. El caso está cerrado.</w:t>
            </w:r>
          </w:p>
        </w:tc>
      </w:tr>
      <w:tr w:rsidR="00191AAB" w:rsidRPr="003E2CFD" w14:paraId="6E7DED32" w14:textId="77777777" w:rsidTr="00120D21">
        <w:trPr>
          <w:trHeight w:val="576"/>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657BA8" w14:textId="77777777" w:rsidR="00191AAB" w:rsidRPr="00120D21" w:rsidRDefault="00191AAB" w:rsidP="000250B5">
            <w:pPr>
              <w:spacing w:after="0" w:line="240" w:lineRule="auto"/>
              <w:jc w:val="center"/>
              <w:rPr>
                <w:rFonts w:ascii="Calibri" w:eastAsia="Times New Roman" w:hAnsi="Calibri" w:cs="Calibri"/>
                <w:kern w:val="0"/>
                <w:sz w:val="22"/>
                <w:szCs w:val="22"/>
                <w14:ligatures w14:val="none"/>
              </w:rPr>
            </w:pPr>
            <w:r w:rsidRPr="00120D21">
              <w:rPr>
                <w:rFonts w:ascii="Calibri" w:eastAsia="Times New Roman" w:hAnsi="Calibri" w:cs="Calibri"/>
                <w:kern w:val="0"/>
                <w:sz w:val="22"/>
                <w:szCs w:val="22"/>
                <w14:ligatures w14:val="none"/>
              </w:rPr>
              <w:t>Administración de Terrenos v Sucn. Ramón Berberé y otros</w:t>
            </w:r>
          </w:p>
          <w:p w14:paraId="3B45CCCD" w14:textId="77777777" w:rsidR="00191AAB" w:rsidRPr="00120D21" w:rsidRDefault="00191AAB" w:rsidP="000250B5">
            <w:pPr>
              <w:spacing w:after="0" w:line="240" w:lineRule="auto"/>
              <w:jc w:val="center"/>
              <w:rPr>
                <w:rFonts w:ascii="Calibri" w:eastAsia="Times New Roman" w:hAnsi="Calibri" w:cs="Calibri"/>
                <w:kern w:val="0"/>
                <w:sz w:val="22"/>
                <w:szCs w:val="22"/>
                <w14:ligatures w14:val="none"/>
              </w:rPr>
            </w:pP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7FCE961B" w14:textId="77777777" w:rsidR="00191AAB" w:rsidRPr="003E2CFD"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33618E82" w14:textId="77777777" w:rsidR="00191AAB" w:rsidRPr="00236B17" w:rsidRDefault="00191AAB" w:rsidP="000250B5">
            <w:pPr>
              <w:spacing w:after="0" w:line="240" w:lineRule="auto"/>
              <w:jc w:val="center"/>
              <w:rPr>
                <w:rFonts w:ascii="Calibri" w:eastAsia="Times New Roman" w:hAnsi="Calibri" w:cs="Calibri"/>
                <w:color w:val="000000"/>
                <w:kern w:val="0"/>
                <w:sz w:val="16"/>
                <w:szCs w:val="16"/>
                <w14:ligatures w14:val="none"/>
              </w:rPr>
            </w:pPr>
            <w:r w:rsidRPr="00CF7E40">
              <w:rPr>
                <w:rFonts w:ascii="Calibri" w:eastAsia="Times New Roman" w:hAnsi="Calibri" w:cs="Calibri"/>
                <w:color w:val="000000"/>
                <w:kern w:val="0"/>
                <w:sz w:val="16"/>
                <w:szCs w:val="16"/>
                <w14:ligatures w14:val="none"/>
              </w:rPr>
              <w:t>SJ2018CV03665</w:t>
            </w: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40A4DF14" w14:textId="77777777" w:rsidR="00191AAB" w:rsidRPr="00BC504E"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100ED18B" w14:textId="77777777" w:rsidR="00191AAB" w:rsidRPr="00BC504E"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3897BB8" w14:textId="77777777" w:rsidR="00191AAB" w:rsidRPr="003E2CFD"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C5BFA7D" w14:textId="77777777" w:rsidR="00191AAB" w:rsidRPr="00BC504E"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1FA5738A" w14:textId="77777777" w:rsidR="00191AAB" w:rsidRPr="003E2CFD"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294E3ECA"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39CB9410"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51FC0AFE"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4D3EA2AA"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76F33F47"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$33,500.00</w:t>
            </w:r>
          </w:p>
        </w:tc>
        <w:tc>
          <w:tcPr>
            <w:tcW w:w="4173" w:type="dxa"/>
            <w:tcBorders>
              <w:top w:val="single" w:sz="4" w:space="0" w:color="auto"/>
              <w:left w:val="nil"/>
              <w:bottom w:val="single" w:sz="4" w:space="0" w:color="auto"/>
              <w:right w:val="single" w:sz="4" w:space="0" w:color="auto"/>
            </w:tcBorders>
            <w:shd w:val="clear" w:color="auto" w:fill="auto"/>
            <w:vAlign w:val="center"/>
          </w:tcPr>
          <w:p w14:paraId="6CCF79BB" w14:textId="77777777" w:rsidR="00191AAB" w:rsidRPr="00E440BE" w:rsidRDefault="00191AAB" w:rsidP="000250B5">
            <w:pPr>
              <w:spacing w:after="0" w:line="240" w:lineRule="auto"/>
              <w:jc w:val="both"/>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Expropiación forzosa para la restauración del Caño Martín Peña. Se celebró Vista de Edicto y por las Alegaciones y el TPI dictó Sentencia el 9 de febrero de 2022. El caso está cerrado.</w:t>
            </w:r>
          </w:p>
        </w:tc>
      </w:tr>
      <w:tr w:rsidR="00191AAB" w:rsidRPr="003E2CFD" w14:paraId="267834F9"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019783" w14:textId="77777777" w:rsidR="00191AAB" w:rsidRPr="00120D21" w:rsidRDefault="00191AAB" w:rsidP="000250B5">
            <w:pPr>
              <w:spacing w:after="0" w:line="240" w:lineRule="auto"/>
              <w:jc w:val="center"/>
              <w:rPr>
                <w:rFonts w:ascii="Calibri" w:eastAsia="Times New Roman" w:hAnsi="Calibri" w:cs="Calibri"/>
                <w:kern w:val="0"/>
                <w:sz w:val="22"/>
                <w:szCs w:val="22"/>
                <w14:ligatures w14:val="none"/>
              </w:rPr>
            </w:pPr>
            <w:r w:rsidRPr="00120D21">
              <w:rPr>
                <w:rFonts w:ascii="Calibri" w:eastAsia="Times New Roman" w:hAnsi="Calibri" w:cs="Calibri"/>
                <w:kern w:val="0"/>
                <w:sz w:val="22"/>
                <w:szCs w:val="22"/>
                <w14:ligatures w14:val="none"/>
              </w:rPr>
              <w:lastRenderedPageBreak/>
              <w:t>Sucn. Eugenia Cruz González- Ex parte</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081E82A4" w14:textId="77777777" w:rsidR="00191AAB" w:rsidRPr="003E2CFD"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15867F69" w14:textId="77777777" w:rsidR="00191AAB" w:rsidRPr="00CF7E40" w:rsidRDefault="00191AAB" w:rsidP="000250B5">
            <w:pPr>
              <w:spacing w:after="0" w:line="240" w:lineRule="auto"/>
              <w:jc w:val="center"/>
              <w:rPr>
                <w:rFonts w:ascii="Calibri" w:eastAsia="Times New Roman" w:hAnsi="Calibri" w:cs="Calibri"/>
                <w:color w:val="000000"/>
                <w:kern w:val="0"/>
                <w:sz w:val="16"/>
                <w:szCs w:val="16"/>
                <w14:ligatures w14:val="none"/>
              </w:rPr>
            </w:pPr>
            <w:r w:rsidRPr="00F44157">
              <w:rPr>
                <w:rFonts w:ascii="Calibri" w:eastAsia="Times New Roman" w:hAnsi="Calibri" w:cs="Calibri"/>
                <w:color w:val="000000"/>
                <w:kern w:val="0"/>
                <w:sz w:val="16"/>
                <w:szCs w:val="16"/>
                <w14:ligatures w14:val="none"/>
              </w:rPr>
              <w:t>N2CI2017-00028</w:t>
            </w: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63D28A9A" w14:textId="77777777" w:rsidR="00191AAB" w:rsidRPr="00BC504E" w:rsidRDefault="00191AAB" w:rsidP="000250B5">
            <w:pPr>
              <w:spacing w:after="0" w:line="240" w:lineRule="auto"/>
              <w:jc w:val="center"/>
              <w:rPr>
                <w:rFonts w:ascii="Calibri" w:eastAsia="Times New Roman" w:hAnsi="Calibri" w:cs="Calibri"/>
                <w:color w:val="000000"/>
                <w:kern w:val="0"/>
                <w:sz w:val="16"/>
                <w:szCs w:val="16"/>
                <w14:ligatures w14:val="none"/>
              </w:rPr>
            </w:pPr>
            <w:r w:rsidRPr="00F44157">
              <w:rPr>
                <w:rFonts w:ascii="Calibri" w:eastAsia="Times New Roman" w:hAnsi="Calibri" w:cs="Calibri"/>
                <w:color w:val="000000"/>
                <w:kern w:val="0"/>
                <w:sz w:val="16"/>
                <w:szCs w:val="16"/>
                <w14:ligatures w14:val="none"/>
              </w:rPr>
              <w:t>KLAN202200895</w:t>
            </w: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1F1C1D46" w14:textId="77777777" w:rsidR="00191AAB" w:rsidRPr="00BC504E" w:rsidRDefault="00191AAB" w:rsidP="000250B5">
            <w:pPr>
              <w:spacing w:after="0" w:line="240" w:lineRule="auto"/>
              <w:jc w:val="center"/>
              <w:rPr>
                <w:rFonts w:ascii="Calibri" w:eastAsia="Times New Roman" w:hAnsi="Calibri" w:cs="Calibri"/>
                <w:color w:val="000000"/>
                <w:kern w:val="0"/>
                <w:sz w:val="16"/>
                <w:szCs w:val="16"/>
                <w14:ligatures w14:val="none"/>
              </w:rPr>
            </w:pPr>
            <w:r w:rsidRPr="00F44157">
              <w:rPr>
                <w:rFonts w:ascii="Calibri" w:eastAsia="Times New Roman" w:hAnsi="Calibri" w:cs="Calibri"/>
                <w:color w:val="000000"/>
                <w:kern w:val="0"/>
                <w:sz w:val="16"/>
                <w:szCs w:val="16"/>
                <w14:ligatures w14:val="none"/>
              </w:rPr>
              <w:t>CC-2023-0145</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49BCC6A" w14:textId="77777777" w:rsidR="00191AAB" w:rsidRPr="003E2CFD"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7FDCB03" w14:textId="77777777" w:rsidR="00191AAB" w:rsidRPr="00BC504E" w:rsidRDefault="00191AAB" w:rsidP="000250B5">
            <w:pPr>
              <w:spacing w:after="0" w:line="240" w:lineRule="auto"/>
              <w:jc w:val="center"/>
              <w:rPr>
                <w:rFonts w:ascii="Calibri" w:eastAsia="Times New Roman" w:hAnsi="Calibri" w:cs="Calibri"/>
                <w:color w:val="000000"/>
                <w:kern w:val="0"/>
                <w:sz w:val="16"/>
                <w:szCs w:val="16"/>
                <w14:ligatures w14:val="none"/>
              </w:rPr>
            </w:pPr>
            <w:r w:rsidRPr="00F44157">
              <w:rPr>
                <w:rFonts w:ascii="Calibri" w:eastAsia="Times New Roman" w:hAnsi="Calibri" w:cs="Calibri"/>
                <w:color w:val="000000"/>
                <w:kern w:val="0"/>
                <w:sz w:val="16"/>
                <w:szCs w:val="16"/>
                <w14:ligatures w14:val="none"/>
              </w:rPr>
              <w:t>CC-2023-0145</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1E61F707" w14:textId="77777777" w:rsidR="00191AAB" w:rsidRPr="003E2CFD"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2F4E7F37"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7173393E"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6C67FEAD"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6CA21620"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2137BD64"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N/A</w:t>
            </w:r>
          </w:p>
        </w:tc>
        <w:tc>
          <w:tcPr>
            <w:tcW w:w="4173" w:type="dxa"/>
            <w:tcBorders>
              <w:top w:val="single" w:sz="4" w:space="0" w:color="auto"/>
              <w:left w:val="nil"/>
              <w:bottom w:val="single" w:sz="4" w:space="0" w:color="auto"/>
              <w:right w:val="single" w:sz="4" w:space="0" w:color="auto"/>
            </w:tcBorders>
            <w:shd w:val="clear" w:color="auto" w:fill="auto"/>
            <w:vAlign w:val="center"/>
          </w:tcPr>
          <w:p w14:paraId="7269713A" w14:textId="77777777" w:rsidR="00191AAB" w:rsidRPr="00E440BE" w:rsidRDefault="00191AAB" w:rsidP="000250B5">
            <w:pPr>
              <w:spacing w:after="0" w:line="240" w:lineRule="auto"/>
              <w:jc w:val="both"/>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Expediente de Dominio. El TPI desestimó el Expediente de Dominio ante los reiterados incumplimientos de la Parte Demandante en comparecer con representación Legal. Posteriormente, el TPI dictó Sentencia en Rebeldía a favor de la Administración en relación con la Reconvención presentada por la Administración, y ordenó el desalojo de la propiedad. Los demandantes acudieron en Apelación al Tribunal de Apelaciones, quien revocó la Sentencia del TPI. La Administración recurrió en Certiorari ante el Tribunal Supremo el 1ro de marzo de 2023, y el Tribunal Supremo no acogió el recurso. El caso de encuentra en la etapa de descubrimiento de prueba.</w:t>
            </w:r>
          </w:p>
          <w:p w14:paraId="5229BE59" w14:textId="77777777" w:rsidR="00191AAB" w:rsidRPr="00E440BE" w:rsidRDefault="00191AAB" w:rsidP="000250B5">
            <w:pPr>
              <w:spacing w:after="0" w:line="240" w:lineRule="auto"/>
              <w:jc w:val="both"/>
              <w:rPr>
                <w:rFonts w:ascii="Calibri" w:eastAsia="Times New Roman" w:hAnsi="Calibri" w:cs="Calibri"/>
                <w:color w:val="000000"/>
                <w:kern w:val="0"/>
                <w:sz w:val="16"/>
                <w:szCs w:val="16"/>
                <w14:ligatures w14:val="none"/>
              </w:rPr>
            </w:pPr>
          </w:p>
        </w:tc>
      </w:tr>
      <w:tr w:rsidR="00191AAB" w:rsidRPr="003E2CFD" w14:paraId="70A359D3"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9509B9" w14:textId="77777777" w:rsidR="00191AAB" w:rsidRPr="00120D21" w:rsidRDefault="00191AAB" w:rsidP="000250B5">
            <w:pPr>
              <w:spacing w:after="0" w:line="240" w:lineRule="auto"/>
              <w:jc w:val="center"/>
              <w:rPr>
                <w:rFonts w:ascii="Calibri" w:eastAsia="Times New Roman" w:hAnsi="Calibri" w:cs="Calibri"/>
                <w:kern w:val="0"/>
                <w:sz w:val="22"/>
                <w:szCs w:val="22"/>
                <w14:ligatures w14:val="none"/>
              </w:rPr>
            </w:pPr>
            <w:r w:rsidRPr="00120D21">
              <w:rPr>
                <w:rFonts w:ascii="Calibri" w:eastAsia="Times New Roman" w:hAnsi="Calibri" w:cs="Calibri"/>
                <w:kern w:val="0"/>
                <w:sz w:val="22"/>
                <w:szCs w:val="22"/>
                <w14:ligatures w14:val="none"/>
              </w:rPr>
              <w:t>Administración de Terrenos v PROMIX</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2CA2F32C" w14:textId="77777777" w:rsidR="00191AAB" w:rsidRPr="003E2CFD"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0257A74B" w14:textId="77777777" w:rsidR="00191AAB" w:rsidRPr="00F44157" w:rsidRDefault="00191AAB" w:rsidP="000250B5">
            <w:pPr>
              <w:spacing w:after="0" w:line="240" w:lineRule="auto"/>
              <w:jc w:val="center"/>
              <w:rPr>
                <w:rFonts w:ascii="Calibri" w:eastAsia="Times New Roman" w:hAnsi="Calibri" w:cs="Calibri"/>
                <w:color w:val="000000"/>
                <w:kern w:val="0"/>
                <w:sz w:val="16"/>
                <w:szCs w:val="16"/>
                <w14:ligatures w14:val="none"/>
              </w:rPr>
            </w:pPr>
            <w:r w:rsidRPr="00CF7E40">
              <w:rPr>
                <w:rFonts w:ascii="Calibri" w:eastAsia="Times New Roman" w:hAnsi="Calibri" w:cs="Calibri"/>
                <w:color w:val="000000"/>
                <w:kern w:val="0"/>
                <w:sz w:val="16"/>
                <w:szCs w:val="16"/>
                <w14:ligatures w14:val="none"/>
              </w:rPr>
              <w:t>K AC2016-1318 (901)</w:t>
            </w: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77B9A695" w14:textId="77777777" w:rsidR="00191AAB" w:rsidRPr="00F44157"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2838A721" w14:textId="77777777" w:rsidR="00191AAB" w:rsidRPr="00F44157"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0707747" w14:textId="77777777" w:rsidR="00191AAB" w:rsidRPr="003E2CFD"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59CB3EA" w14:textId="77777777" w:rsidR="00191AAB" w:rsidRPr="00F44157"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37AED8AC" w14:textId="77777777" w:rsidR="00191AAB" w:rsidRPr="003E2CFD"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49BB0EF5"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2839A9FE"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473B38B5"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45FB63E0"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58336655"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$57,850.93</w:t>
            </w:r>
          </w:p>
        </w:tc>
        <w:tc>
          <w:tcPr>
            <w:tcW w:w="4173" w:type="dxa"/>
            <w:tcBorders>
              <w:top w:val="single" w:sz="4" w:space="0" w:color="auto"/>
              <w:left w:val="nil"/>
              <w:bottom w:val="single" w:sz="4" w:space="0" w:color="auto"/>
              <w:right w:val="single" w:sz="4" w:space="0" w:color="auto"/>
            </w:tcBorders>
            <w:shd w:val="clear" w:color="auto" w:fill="auto"/>
            <w:vAlign w:val="center"/>
          </w:tcPr>
          <w:p w14:paraId="46E9C28A" w14:textId="77777777" w:rsidR="00191AAB" w:rsidRPr="00E440BE" w:rsidRDefault="00191AAB" w:rsidP="000250B5">
            <w:pPr>
              <w:spacing w:after="0" w:line="240" w:lineRule="auto"/>
              <w:jc w:val="both"/>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Demanda de Sentencia Declaratoria relacionada con la interpretación de un contrato de arrendamiento. El caso está en la etapa de descubrimiento de prueba. No requiere desembolso de fondos. Tanto la Parte Demandada como la Administración presentaron mociones de Sentencia Sumaria, las cuales el TPI dio por sometidas y estamos en espera de la determinación del TPI.</w:t>
            </w:r>
          </w:p>
          <w:p w14:paraId="10D9050C" w14:textId="77777777" w:rsidR="00191AAB" w:rsidRPr="00E440BE" w:rsidRDefault="00191AAB" w:rsidP="000250B5">
            <w:pPr>
              <w:spacing w:after="0" w:line="240" w:lineRule="auto"/>
              <w:jc w:val="both"/>
              <w:rPr>
                <w:rFonts w:ascii="Calibri" w:eastAsia="Times New Roman" w:hAnsi="Calibri" w:cs="Calibri"/>
                <w:color w:val="000000"/>
                <w:kern w:val="0"/>
                <w:sz w:val="16"/>
                <w:szCs w:val="16"/>
                <w14:ligatures w14:val="none"/>
              </w:rPr>
            </w:pPr>
          </w:p>
        </w:tc>
      </w:tr>
      <w:tr w:rsidR="00191AAB" w:rsidRPr="003E2CFD" w14:paraId="13DE2414"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B9E3E5" w14:textId="77777777" w:rsidR="00191AAB" w:rsidRPr="00120D21" w:rsidRDefault="00191AAB" w:rsidP="000250B5">
            <w:pPr>
              <w:spacing w:after="0" w:line="240" w:lineRule="auto"/>
              <w:jc w:val="center"/>
              <w:rPr>
                <w:rFonts w:ascii="Calibri" w:eastAsia="Times New Roman" w:hAnsi="Calibri" w:cs="Calibri"/>
                <w:kern w:val="0"/>
                <w:sz w:val="22"/>
                <w:szCs w:val="22"/>
                <w14:ligatures w14:val="none"/>
              </w:rPr>
            </w:pPr>
            <w:r w:rsidRPr="00120D21">
              <w:rPr>
                <w:rFonts w:ascii="Calibri" w:eastAsia="Times New Roman" w:hAnsi="Calibri" w:cs="Calibri"/>
                <w:kern w:val="0"/>
                <w:sz w:val="22"/>
                <w:szCs w:val="22"/>
                <w14:ligatures w14:val="none"/>
              </w:rPr>
              <w:t>Administración de Terrenos v Ciudad Deportiva Roberto Clemente, Inc.</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0768A5C8" w14:textId="77777777" w:rsidR="00191AAB" w:rsidRPr="003E2CFD"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54AC981C" w14:textId="77777777" w:rsidR="00191AAB" w:rsidRPr="00CF7E40" w:rsidRDefault="00191AAB" w:rsidP="000250B5">
            <w:pPr>
              <w:spacing w:after="0" w:line="240" w:lineRule="auto"/>
              <w:jc w:val="center"/>
              <w:rPr>
                <w:rFonts w:ascii="Calibri" w:eastAsia="Times New Roman" w:hAnsi="Calibri" w:cs="Calibri"/>
                <w:color w:val="000000"/>
                <w:kern w:val="0"/>
                <w:sz w:val="16"/>
                <w:szCs w:val="16"/>
                <w14:ligatures w14:val="none"/>
              </w:rPr>
            </w:pPr>
            <w:r w:rsidRPr="00173AF4">
              <w:rPr>
                <w:rFonts w:ascii="Calibri" w:eastAsia="Times New Roman" w:hAnsi="Calibri" w:cs="Calibri"/>
                <w:color w:val="000000"/>
                <w:kern w:val="0"/>
                <w:sz w:val="16"/>
                <w:szCs w:val="16"/>
                <w14:ligatures w14:val="none"/>
              </w:rPr>
              <w:t>CA2022CV03406</w:t>
            </w: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7C545BAF" w14:textId="77777777" w:rsidR="00191AAB" w:rsidRPr="00F44157"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4B4E4FE5" w14:textId="77777777" w:rsidR="00191AAB" w:rsidRPr="00F44157"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65BDFAF" w14:textId="77777777" w:rsidR="00191AAB" w:rsidRPr="003E2CFD"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DA0E7BB" w14:textId="77777777" w:rsidR="00191AAB" w:rsidRPr="00F44157"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00E6E2C1" w14:textId="77777777" w:rsidR="00191AAB" w:rsidRPr="003E2CFD"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3495B638"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6E7C4D58"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31B02DDB"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4EDBF69C"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6790A685"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4173" w:type="dxa"/>
            <w:tcBorders>
              <w:top w:val="single" w:sz="4" w:space="0" w:color="auto"/>
              <w:left w:val="nil"/>
              <w:bottom w:val="single" w:sz="4" w:space="0" w:color="auto"/>
              <w:right w:val="single" w:sz="4" w:space="0" w:color="auto"/>
            </w:tcBorders>
            <w:shd w:val="clear" w:color="auto" w:fill="auto"/>
            <w:vAlign w:val="center"/>
          </w:tcPr>
          <w:p w14:paraId="33513314" w14:textId="77777777" w:rsidR="00191AAB" w:rsidRPr="00E440BE" w:rsidRDefault="00191AAB" w:rsidP="000250B5">
            <w:pPr>
              <w:spacing w:after="0" w:line="240" w:lineRule="auto"/>
              <w:jc w:val="both"/>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 xml:space="preserve">Petición de Orden de Entrada presentada por la Administración (Caso Núm. CA2022CV03406) al amparo de la Sección 311 f (r) de la Ley de la Administración de Terrenos con el propósito de dar cumplimiento a la Ley Núm. 67 de 2022, la cual crea el Distrito Deportivo Roberto Clemente. La corporación no contestó la Petición, luego de trámites relacionados con el emplazamiento por edicto. La Administración desistió de su reclamación. El caso está cerrado. </w:t>
            </w:r>
          </w:p>
          <w:p w14:paraId="4D215C48" w14:textId="77777777" w:rsidR="00191AAB" w:rsidRPr="00E440BE" w:rsidRDefault="00191AAB" w:rsidP="000250B5">
            <w:pPr>
              <w:spacing w:after="0" w:line="240" w:lineRule="auto"/>
              <w:jc w:val="both"/>
              <w:rPr>
                <w:rFonts w:ascii="Calibri" w:eastAsia="Times New Roman" w:hAnsi="Calibri" w:cs="Calibri"/>
                <w:color w:val="000000"/>
                <w:kern w:val="0"/>
                <w:sz w:val="16"/>
                <w:szCs w:val="16"/>
                <w14:ligatures w14:val="none"/>
              </w:rPr>
            </w:pPr>
          </w:p>
        </w:tc>
      </w:tr>
      <w:tr w:rsidR="00191AAB" w:rsidRPr="003E2CFD" w14:paraId="075322F0"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1AD8A6" w14:textId="77777777" w:rsidR="00191AAB" w:rsidRPr="00120D21" w:rsidRDefault="00191AAB" w:rsidP="000250B5">
            <w:pPr>
              <w:spacing w:after="0" w:line="240" w:lineRule="auto"/>
              <w:jc w:val="center"/>
              <w:rPr>
                <w:rFonts w:ascii="Calibri" w:eastAsia="Times New Roman" w:hAnsi="Calibri" w:cs="Calibri"/>
                <w:kern w:val="0"/>
                <w:sz w:val="22"/>
                <w:szCs w:val="22"/>
                <w14:ligatures w14:val="none"/>
              </w:rPr>
            </w:pPr>
            <w:r w:rsidRPr="00120D21">
              <w:rPr>
                <w:rFonts w:ascii="Calibri" w:eastAsia="Times New Roman" w:hAnsi="Calibri" w:cs="Calibri"/>
                <w:kern w:val="0"/>
                <w:sz w:val="22"/>
                <w:szCs w:val="22"/>
                <w14:ligatures w14:val="none"/>
              </w:rPr>
              <w:t xml:space="preserve">Estado Libre Asociado de Puerto Rico; Departamento de Recreación y Deportes de Puerto Rico; </w:t>
            </w:r>
            <w:r w:rsidRPr="00120D21">
              <w:rPr>
                <w:rFonts w:ascii="Calibri" w:eastAsia="Times New Roman" w:hAnsi="Calibri" w:cs="Calibri"/>
                <w:kern w:val="0"/>
                <w:sz w:val="22"/>
                <w:szCs w:val="22"/>
                <w14:ligatures w14:val="none"/>
              </w:rPr>
              <w:lastRenderedPageBreak/>
              <w:t>Administración de Terrenos de Puerto Rico v Ciudad Deportiva Roberto Clemente, Inc.</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3CF639C9" w14:textId="77777777" w:rsidR="00191AAB" w:rsidRPr="003E2CFD"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4D13B9EC" w14:textId="77777777" w:rsidR="00191AAB" w:rsidRPr="00173AF4" w:rsidRDefault="00191AAB" w:rsidP="000250B5">
            <w:pPr>
              <w:spacing w:after="0" w:line="240" w:lineRule="auto"/>
              <w:jc w:val="center"/>
              <w:rPr>
                <w:rFonts w:ascii="Calibri" w:eastAsia="Times New Roman" w:hAnsi="Calibri" w:cs="Calibri"/>
                <w:color w:val="000000"/>
                <w:kern w:val="0"/>
                <w:sz w:val="16"/>
                <w:szCs w:val="16"/>
                <w14:ligatures w14:val="none"/>
              </w:rPr>
            </w:pPr>
            <w:r w:rsidRPr="00173AF4">
              <w:rPr>
                <w:rFonts w:ascii="Calibri" w:eastAsia="Times New Roman" w:hAnsi="Calibri" w:cs="Calibri"/>
                <w:color w:val="000000"/>
                <w:kern w:val="0"/>
                <w:sz w:val="16"/>
                <w:szCs w:val="16"/>
                <w14:ligatures w14:val="none"/>
              </w:rPr>
              <w:t>SJ2023CV3003</w:t>
            </w: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08D06DC7" w14:textId="77777777" w:rsidR="00191AAB" w:rsidRPr="00F44157"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3F101301" w14:textId="77777777" w:rsidR="00191AAB" w:rsidRPr="00F44157"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6B5F18A" w14:textId="77777777" w:rsidR="00191AAB" w:rsidRPr="003E2CFD"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D0035B7" w14:textId="77777777" w:rsidR="00191AAB" w:rsidRPr="00F44157" w:rsidRDefault="00191AAB" w:rsidP="000250B5">
            <w:pPr>
              <w:spacing w:after="0" w:line="240" w:lineRule="auto"/>
              <w:jc w:val="center"/>
              <w:rPr>
                <w:rFonts w:ascii="Calibri" w:eastAsia="Times New Roman" w:hAnsi="Calibri" w:cs="Calibri"/>
                <w:color w:val="000000"/>
                <w:kern w:val="0"/>
                <w:sz w:val="16"/>
                <w:szCs w:val="16"/>
                <w14:ligatures w14:val="none"/>
              </w:rPr>
            </w:pPr>
            <w:r w:rsidRPr="00173AF4">
              <w:rPr>
                <w:rFonts w:ascii="Calibri" w:eastAsia="Times New Roman" w:hAnsi="Calibri" w:cs="Calibri"/>
                <w:color w:val="000000"/>
                <w:kern w:val="0"/>
                <w:sz w:val="16"/>
                <w:szCs w:val="16"/>
                <w14:ligatures w14:val="none"/>
              </w:rPr>
              <w:t>KLCE2024</w:t>
            </w:r>
            <w:r w:rsidR="00450019">
              <w:rPr>
                <w:rFonts w:ascii="Calibri" w:eastAsia="Times New Roman" w:hAnsi="Calibri" w:cs="Calibri"/>
                <w:color w:val="000000"/>
                <w:kern w:val="0"/>
                <w:sz w:val="16"/>
                <w:szCs w:val="16"/>
                <w14:ligatures w14:val="none"/>
              </w:rPr>
              <w:t>01031</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3C198D9D" w14:textId="77777777" w:rsidR="00191AAB" w:rsidRPr="003E2CFD"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3B5A9BAC" w14:textId="77777777" w:rsidR="00191AAB" w:rsidRPr="00E440BE" w:rsidRDefault="00FA23F9"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1E12F4F2" w14:textId="77777777" w:rsidR="00191AAB" w:rsidRPr="00E440BE" w:rsidRDefault="00FA23F9"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584BAB20"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69F0C1D7"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54493F6E" w14:textId="77777777" w:rsidR="00191AAB" w:rsidRPr="00E440BE" w:rsidRDefault="00191AAB" w:rsidP="000250B5">
            <w:pPr>
              <w:spacing w:after="0" w:line="240" w:lineRule="auto"/>
              <w:jc w:val="center"/>
              <w:rPr>
                <w:rFonts w:ascii="Calibri" w:eastAsia="Times New Roman" w:hAnsi="Calibri" w:cs="Calibri"/>
                <w:color w:val="000000"/>
                <w:kern w:val="0"/>
                <w:sz w:val="16"/>
                <w:szCs w:val="16"/>
                <w14:ligatures w14:val="none"/>
              </w:rPr>
            </w:pPr>
          </w:p>
        </w:tc>
        <w:tc>
          <w:tcPr>
            <w:tcW w:w="4173" w:type="dxa"/>
            <w:tcBorders>
              <w:top w:val="single" w:sz="4" w:space="0" w:color="auto"/>
              <w:left w:val="nil"/>
              <w:bottom w:val="single" w:sz="4" w:space="0" w:color="auto"/>
              <w:right w:val="single" w:sz="4" w:space="0" w:color="auto"/>
            </w:tcBorders>
            <w:shd w:val="clear" w:color="auto" w:fill="auto"/>
            <w:vAlign w:val="center"/>
          </w:tcPr>
          <w:p w14:paraId="19132F23" w14:textId="77777777" w:rsidR="00191AAB" w:rsidRPr="00E440BE" w:rsidRDefault="00191AAB" w:rsidP="000250B5">
            <w:pPr>
              <w:spacing w:after="0" w:line="240" w:lineRule="auto"/>
              <w:jc w:val="both"/>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 xml:space="preserve">Demanda de Injunction Preliminar y Sentencia Declaratoria con el propósito de dar cumplimiento a la Ley Núm. 67 de 2022, la cual revierte la titularidad de los terrenos donde ubica Ciudad Deportiva al Estado y crea el Distrito Deportivo Roberto Clemente. El TPI concedió la entrada de la Administración a Ciudad Deportiva. de conformidad con las disposiciones de la Sección 311 f (r) de la Ley de la Administración de Terrenos, </w:t>
            </w:r>
            <w:r w:rsidRPr="00E440BE">
              <w:rPr>
                <w:rFonts w:ascii="Calibri" w:eastAsia="Times New Roman" w:hAnsi="Calibri" w:cs="Calibri"/>
                <w:color w:val="000000"/>
                <w:kern w:val="0"/>
                <w:sz w:val="16"/>
                <w:szCs w:val="16"/>
                <w14:ligatures w14:val="none"/>
              </w:rPr>
              <w:lastRenderedPageBreak/>
              <w:t>para inspección y redacción de un informe. Las Partes realizaron descubrimiento de prueba y presentaron mociones de Sentencia Sumaria. El TPI (Hon. Anthony Cuevas Ramos) declaró no ha lugar ambas mociones y subsiguientes mociones de reconsideración. Recientemente, el Gobierno acudió en certiorari ante el Tribunal de Apelaciones de la denegatoria de la solicitud de Sentencia Sumaria, sin embargo, el Gobierno compareció también en representación de la Administración sin el conocimiento ni consentimiento de la Administración. Ciudad Deportiva alega que la Ley 67-2022 es inconstitucional y que el Gobierno interfirió con la capacidad de Ciudad Deportiva de cumplir con las cláusulas de la Escritura de Cesión de los terrenos.</w:t>
            </w:r>
            <w:r w:rsidR="00450019">
              <w:rPr>
                <w:rFonts w:ascii="Calibri" w:eastAsia="Times New Roman" w:hAnsi="Calibri" w:cs="Calibri"/>
                <w:color w:val="000000"/>
                <w:kern w:val="0"/>
                <w:sz w:val="16"/>
                <w:szCs w:val="16"/>
                <w14:ligatures w14:val="none"/>
              </w:rPr>
              <w:t xml:space="preserve"> El Tribunal de Apelaciones concedió a CDRC hasta el 23 de octubre de 2024 para presentar oposición a la expedición del auto.</w:t>
            </w:r>
          </w:p>
          <w:p w14:paraId="100412D5" w14:textId="77777777" w:rsidR="00191AAB" w:rsidRPr="00E440BE" w:rsidRDefault="00191AAB" w:rsidP="000250B5">
            <w:pPr>
              <w:spacing w:after="0" w:line="240" w:lineRule="auto"/>
              <w:jc w:val="both"/>
              <w:rPr>
                <w:rFonts w:ascii="Calibri" w:eastAsia="Times New Roman" w:hAnsi="Calibri" w:cs="Calibri"/>
                <w:color w:val="000000"/>
                <w:kern w:val="0"/>
                <w:sz w:val="16"/>
                <w:szCs w:val="16"/>
                <w14:ligatures w14:val="none"/>
              </w:rPr>
            </w:pPr>
          </w:p>
        </w:tc>
      </w:tr>
      <w:tr w:rsidR="0089483F" w:rsidRPr="003E2CFD" w14:paraId="3274233E"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701573" w14:textId="77777777" w:rsidR="0089483F" w:rsidRPr="00120D21" w:rsidRDefault="0089483F" w:rsidP="000250B5">
            <w:pPr>
              <w:jc w:val="center"/>
              <w:rPr>
                <w:rFonts w:ascii="Calibri" w:hAnsi="Calibri" w:cs="Calibri"/>
                <w:sz w:val="22"/>
                <w:szCs w:val="22"/>
              </w:rPr>
            </w:pPr>
            <w:r w:rsidRPr="00120D21">
              <w:rPr>
                <w:rFonts w:ascii="Calibri" w:hAnsi="Calibri" w:cs="Calibri"/>
                <w:sz w:val="22"/>
                <w:szCs w:val="22"/>
              </w:rPr>
              <w:lastRenderedPageBreak/>
              <w:t>Negociado de Conciliación y Arbitraje (NCA)</w:t>
            </w:r>
          </w:p>
          <w:p w14:paraId="35F3A276" w14:textId="77777777" w:rsidR="0089483F" w:rsidRPr="005C76C8" w:rsidRDefault="0089483F" w:rsidP="000250B5">
            <w:pPr>
              <w:spacing w:after="0" w:line="240" w:lineRule="auto"/>
              <w:jc w:val="center"/>
              <w:rPr>
                <w:rFonts w:ascii="Calibri" w:eastAsia="Times New Roman" w:hAnsi="Calibri" w:cs="Calibri"/>
                <w:color w:val="4C94D8" w:themeColor="text2" w:themeTint="80"/>
                <w:kern w:val="0"/>
                <w:sz w:val="16"/>
                <w:szCs w:val="16"/>
                <w14:ligatures w14:val="none"/>
              </w:rPr>
            </w:pP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5EAC5FDB" w14:textId="77777777" w:rsidR="009625BF" w:rsidRPr="005C76C8" w:rsidRDefault="009625BF" w:rsidP="000250B5">
            <w:pPr>
              <w:jc w:val="center"/>
              <w:rPr>
                <w:rFonts w:ascii="Calibri" w:hAnsi="Calibri" w:cs="Calibri"/>
                <w:color w:val="000000"/>
                <w:sz w:val="16"/>
                <w:szCs w:val="16"/>
              </w:rPr>
            </w:pPr>
            <w:r w:rsidRPr="005C76C8">
              <w:rPr>
                <w:rFonts w:ascii="Calibri" w:hAnsi="Calibri" w:cs="Calibri"/>
                <w:color w:val="000000"/>
                <w:sz w:val="16"/>
                <w:szCs w:val="16"/>
              </w:rPr>
              <w:t>A-20-1105 (2020-02)</w:t>
            </w:r>
          </w:p>
          <w:p w14:paraId="15E65058" w14:textId="77777777" w:rsidR="0089483F" w:rsidRPr="005C76C8" w:rsidRDefault="0089483F"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3FA4F624" w14:textId="77777777" w:rsidR="0089483F" w:rsidRPr="005C76C8" w:rsidRDefault="0089483F" w:rsidP="000250B5">
            <w:pPr>
              <w:spacing w:after="0" w:line="240" w:lineRule="auto"/>
              <w:jc w:val="center"/>
              <w:rPr>
                <w:rFonts w:ascii="Calibri" w:eastAsia="Times New Roman" w:hAnsi="Calibri" w:cs="Calibri"/>
                <w:color w:val="000000"/>
                <w:kern w:val="0"/>
                <w:sz w:val="16"/>
                <w:szCs w:val="16"/>
                <w14:ligatures w14:val="none"/>
              </w:rPr>
            </w:pP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3683A96E" w14:textId="77777777" w:rsidR="0089483F" w:rsidRPr="005C76C8" w:rsidRDefault="0089483F" w:rsidP="000250B5">
            <w:pPr>
              <w:spacing w:after="0" w:line="240" w:lineRule="auto"/>
              <w:jc w:val="center"/>
              <w:rPr>
                <w:rFonts w:ascii="Calibri" w:eastAsia="Times New Roman" w:hAnsi="Calibri" w:cs="Calibri"/>
                <w:color w:val="000000"/>
                <w:kern w:val="0"/>
                <w:sz w:val="16"/>
                <w:szCs w:val="16"/>
                <w14:ligatures w14:val="none"/>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7407BF71" w14:textId="77777777" w:rsidR="0089483F" w:rsidRPr="005C76C8" w:rsidRDefault="0089483F"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8485420" w14:textId="77777777" w:rsidR="0089483F" w:rsidRPr="005C76C8" w:rsidRDefault="0089483F"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9D0360D" w14:textId="77777777" w:rsidR="0089483F" w:rsidRPr="005C76C8" w:rsidRDefault="0089483F"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03B6762E" w14:textId="77777777" w:rsidR="0089483F" w:rsidRPr="005C76C8" w:rsidRDefault="0089483F"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09E073F1" w14:textId="77777777" w:rsidR="0089483F" w:rsidRPr="00E440BE" w:rsidRDefault="009625BF"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02CCA4FE" w14:textId="77777777" w:rsidR="0089483F" w:rsidRPr="00E440BE" w:rsidRDefault="009625BF"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7FE25FD6" w14:textId="77777777" w:rsidR="0089483F" w:rsidRPr="00E440BE" w:rsidRDefault="0089483F" w:rsidP="000250B5">
            <w:pPr>
              <w:spacing w:after="0" w:line="240" w:lineRule="auto"/>
              <w:jc w:val="center"/>
              <w:rPr>
                <w:rFonts w:ascii="Calibri" w:eastAsia="Times New Roman" w:hAnsi="Calibri" w:cs="Calibri"/>
                <w:color w:val="000000"/>
                <w:kern w:val="0"/>
                <w:sz w:val="16"/>
                <w:szCs w:val="16"/>
                <w14:ligatures w14:val="none"/>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2A83A475" w14:textId="77777777" w:rsidR="0089483F" w:rsidRPr="00E440BE" w:rsidRDefault="0089483F" w:rsidP="000250B5">
            <w:pPr>
              <w:spacing w:after="0" w:line="240" w:lineRule="auto"/>
              <w:jc w:val="center"/>
              <w:rPr>
                <w:rFonts w:ascii="Calibri" w:eastAsia="Times New Roman" w:hAnsi="Calibri" w:cs="Calibri"/>
                <w:color w:val="000000"/>
                <w:kern w:val="0"/>
                <w:sz w:val="16"/>
                <w:szCs w:val="16"/>
                <w14:ligatures w14:val="none"/>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1748F5BF" w14:textId="77777777" w:rsidR="0089483F" w:rsidRPr="00E440BE" w:rsidRDefault="0089483F" w:rsidP="000250B5">
            <w:pPr>
              <w:spacing w:after="0" w:line="240" w:lineRule="auto"/>
              <w:jc w:val="center"/>
              <w:rPr>
                <w:rFonts w:ascii="Calibri" w:eastAsia="Times New Roman" w:hAnsi="Calibri" w:cs="Calibri"/>
                <w:color w:val="000000"/>
                <w:kern w:val="0"/>
                <w:sz w:val="16"/>
                <w:szCs w:val="16"/>
                <w14:ligatures w14:val="none"/>
              </w:rPr>
            </w:pPr>
          </w:p>
        </w:tc>
        <w:tc>
          <w:tcPr>
            <w:tcW w:w="4173" w:type="dxa"/>
            <w:tcBorders>
              <w:top w:val="single" w:sz="4" w:space="0" w:color="auto"/>
              <w:left w:val="nil"/>
              <w:bottom w:val="single" w:sz="4" w:space="0" w:color="auto"/>
              <w:right w:val="single" w:sz="4" w:space="0" w:color="auto"/>
            </w:tcBorders>
            <w:shd w:val="clear" w:color="auto" w:fill="auto"/>
            <w:vAlign w:val="center"/>
          </w:tcPr>
          <w:p w14:paraId="650860AC" w14:textId="77777777" w:rsidR="009625BF" w:rsidRDefault="009625BF" w:rsidP="000250B5">
            <w:pPr>
              <w:spacing w:after="0" w:line="240" w:lineRule="auto"/>
              <w:jc w:val="both"/>
              <w:rPr>
                <w:rFonts w:ascii="Calibri" w:hAnsi="Calibri" w:cs="Calibri"/>
                <w:color w:val="000000"/>
                <w:sz w:val="16"/>
                <w:szCs w:val="16"/>
              </w:rPr>
            </w:pPr>
            <w:r w:rsidRPr="00E440BE">
              <w:rPr>
                <w:rFonts w:ascii="Calibri" w:hAnsi="Calibri" w:cs="Calibri"/>
                <w:color w:val="000000"/>
                <w:sz w:val="16"/>
                <w:szCs w:val="16"/>
              </w:rPr>
              <w:t>La Unión argumenta que la Administración violó el Artículo XXII - Días Feriados (18 de noviembre de 2019).  Además, alegan que la Administración violó y continúa violando el Convenio, ya que los días feriados y su otorgación constituyen materia mandatoria de negociación colectiva.</w:t>
            </w:r>
          </w:p>
          <w:p w14:paraId="0D71A0D8" w14:textId="77777777" w:rsidR="000250B5" w:rsidRPr="00E440BE" w:rsidRDefault="000250B5" w:rsidP="000250B5">
            <w:pPr>
              <w:spacing w:after="0" w:line="240" w:lineRule="auto"/>
              <w:jc w:val="both"/>
              <w:rPr>
                <w:rFonts w:ascii="Calibri" w:hAnsi="Calibri" w:cs="Calibri"/>
                <w:color w:val="000000"/>
                <w:sz w:val="16"/>
                <w:szCs w:val="16"/>
              </w:rPr>
            </w:pPr>
          </w:p>
          <w:p w14:paraId="5B3449B2" w14:textId="77777777" w:rsidR="009625BF" w:rsidRDefault="009625BF" w:rsidP="000250B5">
            <w:pPr>
              <w:spacing w:after="0" w:line="240" w:lineRule="auto"/>
              <w:jc w:val="both"/>
              <w:rPr>
                <w:rFonts w:ascii="Calibri" w:hAnsi="Calibri" w:cs="Calibri"/>
                <w:sz w:val="16"/>
                <w:szCs w:val="16"/>
              </w:rPr>
            </w:pPr>
            <w:r w:rsidRPr="00E440BE">
              <w:rPr>
                <w:rFonts w:ascii="Calibri" w:hAnsi="Calibri" w:cs="Calibri"/>
                <w:color w:val="000000"/>
                <w:sz w:val="16"/>
                <w:szCs w:val="16"/>
              </w:rPr>
              <w:t xml:space="preserve">La Ley 26-2017 no permite otorgar mayores beneficios de los dispuestos en dicha Ley.  </w:t>
            </w:r>
            <w:r w:rsidRPr="00E440BE">
              <w:rPr>
                <w:rFonts w:ascii="Calibri" w:hAnsi="Calibri" w:cs="Calibri"/>
                <w:sz w:val="16"/>
                <w:szCs w:val="16"/>
              </w:rPr>
              <w:t>El 31 de agosto de 2020 se le notificó a la Unión que se eliminó al árbitro Yolanda Rodríguez, primer turno.  El 1 de septiembre le notificamos al NCA que se seleccionó por mutuo acuerdo al árbitro Ángel A. Tanco.</w:t>
            </w:r>
          </w:p>
          <w:p w14:paraId="7FFC1996" w14:textId="77777777" w:rsidR="000250B5" w:rsidRPr="00E440BE" w:rsidRDefault="000250B5" w:rsidP="000250B5">
            <w:pPr>
              <w:spacing w:after="0" w:line="240" w:lineRule="auto"/>
              <w:jc w:val="both"/>
              <w:rPr>
                <w:rFonts w:ascii="Calibri" w:hAnsi="Calibri" w:cs="Calibri"/>
                <w:color w:val="000000"/>
                <w:sz w:val="16"/>
                <w:szCs w:val="16"/>
              </w:rPr>
            </w:pPr>
          </w:p>
          <w:p w14:paraId="056E8D3A" w14:textId="77777777" w:rsidR="009625BF" w:rsidRPr="000250B5" w:rsidRDefault="009625BF" w:rsidP="000250B5">
            <w:pPr>
              <w:spacing w:after="0" w:line="240" w:lineRule="auto"/>
              <w:jc w:val="both"/>
              <w:rPr>
                <w:rFonts w:ascii="Calibri" w:hAnsi="Calibri" w:cs="Calibri"/>
                <w:b/>
                <w:bCs/>
                <w:sz w:val="16"/>
                <w:szCs w:val="16"/>
              </w:rPr>
            </w:pPr>
            <w:r w:rsidRPr="00E440BE">
              <w:rPr>
                <w:rFonts w:ascii="Calibri" w:hAnsi="Calibri" w:cs="Calibri"/>
                <w:sz w:val="16"/>
                <w:szCs w:val="16"/>
              </w:rPr>
              <w:t>La vista fue pautada para el 28 de noviembre de 2022 a las 9:00 a.m. El 16 de noviembre, el licenciado Cardona asumió representación y transferencia de vista.  El árbitro aceptó que, en lugar de celebrar la vista, se someta el caso por medio de memorando de derecho.  El árbitro concedió a las partes 25 días adicionales para presentar alegato o memorando de derecho</w:t>
            </w:r>
            <w:r w:rsidRPr="00E440BE">
              <w:rPr>
                <w:rFonts w:ascii="Calibri" w:hAnsi="Calibri" w:cs="Calibri"/>
                <w:b/>
                <w:bCs/>
                <w:sz w:val="16"/>
                <w:szCs w:val="16"/>
              </w:rPr>
              <w:t xml:space="preserve">. El 8 y 9 de mayo se sometieron los alegatos de la AT y la Unión. </w:t>
            </w:r>
          </w:p>
          <w:p w14:paraId="7D2C959A" w14:textId="77777777" w:rsidR="0089483F" w:rsidRPr="00E440BE" w:rsidRDefault="0089483F" w:rsidP="000250B5">
            <w:pPr>
              <w:spacing w:after="0" w:line="240" w:lineRule="auto"/>
              <w:jc w:val="both"/>
              <w:rPr>
                <w:rFonts w:ascii="Calibri" w:eastAsia="Times New Roman" w:hAnsi="Calibri" w:cs="Calibri"/>
                <w:color w:val="000000"/>
                <w:kern w:val="0"/>
                <w:sz w:val="16"/>
                <w:szCs w:val="16"/>
                <w14:ligatures w14:val="none"/>
              </w:rPr>
            </w:pPr>
          </w:p>
        </w:tc>
      </w:tr>
      <w:tr w:rsidR="0089483F" w:rsidRPr="003E2CFD" w14:paraId="2CAA5E79"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78C363" w14:textId="77777777" w:rsidR="005C76C8" w:rsidRPr="00120D21" w:rsidRDefault="005C76C8" w:rsidP="000250B5">
            <w:pPr>
              <w:jc w:val="center"/>
              <w:rPr>
                <w:rFonts w:ascii="Calibri" w:hAnsi="Calibri" w:cs="Calibri"/>
                <w:sz w:val="22"/>
                <w:szCs w:val="22"/>
              </w:rPr>
            </w:pPr>
            <w:r w:rsidRPr="00120D21">
              <w:rPr>
                <w:rFonts w:ascii="Calibri" w:hAnsi="Calibri" w:cs="Calibri"/>
                <w:sz w:val="22"/>
                <w:szCs w:val="22"/>
              </w:rPr>
              <w:lastRenderedPageBreak/>
              <w:t>Negociado de Conciliación y Arbitraje (NCA)</w:t>
            </w:r>
          </w:p>
          <w:p w14:paraId="2FEC79D8" w14:textId="77777777" w:rsidR="0089483F" w:rsidRPr="00120D21" w:rsidRDefault="0089483F" w:rsidP="000250B5">
            <w:pPr>
              <w:spacing w:after="0" w:line="240" w:lineRule="auto"/>
              <w:jc w:val="center"/>
              <w:rPr>
                <w:rFonts w:ascii="Calibri" w:eastAsia="Times New Roman" w:hAnsi="Calibri" w:cs="Calibri"/>
                <w:kern w:val="0"/>
                <w:sz w:val="16"/>
                <w:szCs w:val="16"/>
                <w14:ligatures w14:val="none"/>
              </w:rPr>
            </w:pP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1E0B14E2" w14:textId="77777777" w:rsidR="005C76C8" w:rsidRPr="005C76C8" w:rsidRDefault="005C76C8" w:rsidP="000250B5">
            <w:pPr>
              <w:jc w:val="center"/>
              <w:rPr>
                <w:rFonts w:ascii="Calibri" w:hAnsi="Calibri" w:cs="Calibri"/>
                <w:color w:val="000000"/>
                <w:sz w:val="16"/>
                <w:szCs w:val="16"/>
              </w:rPr>
            </w:pPr>
            <w:r w:rsidRPr="005C76C8">
              <w:rPr>
                <w:rFonts w:ascii="Calibri" w:hAnsi="Calibri" w:cs="Calibri"/>
                <w:color w:val="000000"/>
                <w:sz w:val="16"/>
                <w:szCs w:val="16"/>
              </w:rPr>
              <w:t>CA-2017-39</w:t>
            </w:r>
          </w:p>
          <w:p w14:paraId="2A2CEB88" w14:textId="77777777" w:rsidR="0089483F" w:rsidRPr="005C76C8" w:rsidRDefault="0089483F"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18549A8C" w14:textId="77777777" w:rsidR="0089483F" w:rsidRPr="005C76C8" w:rsidRDefault="0089483F" w:rsidP="000250B5">
            <w:pPr>
              <w:spacing w:after="0" w:line="240" w:lineRule="auto"/>
              <w:jc w:val="center"/>
              <w:rPr>
                <w:rFonts w:ascii="Calibri" w:eastAsia="Times New Roman" w:hAnsi="Calibri" w:cs="Calibri"/>
                <w:color w:val="000000"/>
                <w:kern w:val="0"/>
                <w:sz w:val="16"/>
                <w:szCs w:val="16"/>
                <w14:ligatures w14:val="none"/>
              </w:rPr>
            </w:pP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00B9B40C" w14:textId="77777777" w:rsidR="0089483F" w:rsidRPr="005C76C8" w:rsidRDefault="0089483F" w:rsidP="000250B5">
            <w:pPr>
              <w:spacing w:after="0" w:line="240" w:lineRule="auto"/>
              <w:jc w:val="center"/>
              <w:rPr>
                <w:rFonts w:ascii="Calibri" w:eastAsia="Times New Roman" w:hAnsi="Calibri" w:cs="Calibri"/>
                <w:color w:val="000000"/>
                <w:kern w:val="0"/>
                <w:sz w:val="16"/>
                <w:szCs w:val="16"/>
                <w14:ligatures w14:val="none"/>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6F3CD2E6" w14:textId="77777777" w:rsidR="0089483F" w:rsidRPr="005C76C8" w:rsidRDefault="0089483F"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B73B7A5" w14:textId="77777777" w:rsidR="0089483F" w:rsidRPr="005C76C8" w:rsidRDefault="0089483F"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158FE25" w14:textId="77777777" w:rsidR="0089483F" w:rsidRPr="005C76C8" w:rsidRDefault="0089483F"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7E1ABD09" w14:textId="77777777" w:rsidR="0089483F" w:rsidRPr="005C76C8" w:rsidRDefault="0089483F"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62D2FC2D" w14:textId="77777777" w:rsidR="0089483F" w:rsidRPr="00E440BE" w:rsidRDefault="005C76C8"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53213891" w14:textId="77777777" w:rsidR="0089483F" w:rsidRPr="00E440BE" w:rsidRDefault="005C76C8"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3C83F3EF" w14:textId="77777777" w:rsidR="0089483F" w:rsidRPr="00E440BE" w:rsidRDefault="0089483F" w:rsidP="000250B5">
            <w:pPr>
              <w:spacing w:after="0" w:line="240" w:lineRule="auto"/>
              <w:jc w:val="center"/>
              <w:rPr>
                <w:rFonts w:ascii="Calibri" w:eastAsia="Times New Roman" w:hAnsi="Calibri" w:cs="Calibri"/>
                <w:color w:val="000000"/>
                <w:kern w:val="0"/>
                <w:sz w:val="16"/>
                <w:szCs w:val="16"/>
                <w14:ligatures w14:val="none"/>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2D31E8D3" w14:textId="77777777" w:rsidR="0089483F" w:rsidRPr="00E440BE" w:rsidRDefault="0089483F" w:rsidP="000250B5">
            <w:pPr>
              <w:spacing w:after="0" w:line="240" w:lineRule="auto"/>
              <w:jc w:val="center"/>
              <w:rPr>
                <w:rFonts w:ascii="Calibri" w:eastAsia="Times New Roman" w:hAnsi="Calibri" w:cs="Calibri"/>
                <w:color w:val="000000"/>
                <w:kern w:val="0"/>
                <w:sz w:val="16"/>
                <w:szCs w:val="16"/>
                <w14:ligatures w14:val="none"/>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6EBDA7B0" w14:textId="77777777" w:rsidR="0089483F" w:rsidRPr="00E440BE" w:rsidRDefault="0089483F" w:rsidP="000250B5">
            <w:pPr>
              <w:spacing w:after="0" w:line="240" w:lineRule="auto"/>
              <w:jc w:val="center"/>
              <w:rPr>
                <w:rFonts w:ascii="Calibri" w:eastAsia="Times New Roman" w:hAnsi="Calibri" w:cs="Calibri"/>
                <w:color w:val="000000"/>
                <w:kern w:val="0"/>
                <w:sz w:val="16"/>
                <w:szCs w:val="16"/>
                <w14:ligatures w14:val="none"/>
              </w:rPr>
            </w:pPr>
          </w:p>
        </w:tc>
        <w:tc>
          <w:tcPr>
            <w:tcW w:w="4173" w:type="dxa"/>
            <w:tcBorders>
              <w:top w:val="single" w:sz="4" w:space="0" w:color="auto"/>
              <w:left w:val="nil"/>
              <w:bottom w:val="single" w:sz="4" w:space="0" w:color="auto"/>
              <w:right w:val="single" w:sz="4" w:space="0" w:color="auto"/>
            </w:tcBorders>
            <w:shd w:val="clear" w:color="auto" w:fill="auto"/>
            <w:vAlign w:val="center"/>
          </w:tcPr>
          <w:p w14:paraId="7CD6FE40" w14:textId="77777777" w:rsidR="005C76C8" w:rsidRDefault="005C76C8" w:rsidP="000250B5">
            <w:pPr>
              <w:spacing w:after="0" w:line="240" w:lineRule="auto"/>
              <w:jc w:val="both"/>
              <w:rPr>
                <w:rFonts w:ascii="Calibri" w:hAnsi="Calibri" w:cs="Calibri"/>
                <w:color w:val="000000"/>
                <w:sz w:val="16"/>
                <w:szCs w:val="16"/>
              </w:rPr>
            </w:pPr>
            <w:r w:rsidRPr="00E440BE">
              <w:rPr>
                <w:rFonts w:ascii="Calibri" w:hAnsi="Calibri" w:cs="Calibri"/>
                <w:color w:val="000000"/>
                <w:sz w:val="16"/>
                <w:szCs w:val="16"/>
              </w:rPr>
              <w:t xml:space="preserve">La Unión alega que la Administración violó el Convenio Colectivo al descontarle de la licencia por vacaciones una ausencia por enfermedad José González. </w:t>
            </w:r>
          </w:p>
          <w:p w14:paraId="5EE4CC11" w14:textId="77777777" w:rsidR="000250B5" w:rsidRPr="00E440BE" w:rsidRDefault="000250B5" w:rsidP="000250B5">
            <w:pPr>
              <w:spacing w:after="0" w:line="240" w:lineRule="auto"/>
              <w:jc w:val="both"/>
              <w:rPr>
                <w:rFonts w:ascii="Calibri" w:hAnsi="Calibri" w:cs="Calibri"/>
                <w:color w:val="000000"/>
                <w:sz w:val="16"/>
                <w:szCs w:val="16"/>
              </w:rPr>
            </w:pPr>
          </w:p>
          <w:p w14:paraId="0A759AE5" w14:textId="77777777" w:rsidR="005C76C8" w:rsidRDefault="005C76C8" w:rsidP="000250B5">
            <w:pPr>
              <w:spacing w:after="0" w:line="240" w:lineRule="auto"/>
              <w:jc w:val="both"/>
              <w:rPr>
                <w:rFonts w:ascii="Calibri" w:hAnsi="Calibri" w:cs="Calibri"/>
                <w:color w:val="000000"/>
                <w:sz w:val="16"/>
                <w:szCs w:val="16"/>
              </w:rPr>
            </w:pPr>
            <w:r w:rsidRPr="00E440BE">
              <w:rPr>
                <w:rFonts w:ascii="Calibri" w:hAnsi="Calibri" w:cs="Calibri"/>
                <w:color w:val="000000"/>
                <w:sz w:val="16"/>
                <w:szCs w:val="16"/>
              </w:rPr>
              <w:t xml:space="preserve">El 30 de noviembre de 2023, en la reunión del Comité de Ajuste, la Gerencia indicó que, conforme al Reglamento de Personal, la Gerencia podía solicitar certificado médico por un día, incluyendo corroborar con el medico cierta información. Se emitió un memorando indicaba que, si un empleado se ausentaba el 21 de julio, tenía que presentar evidencia médica. El empleado llamó y se excusó por enfermedad, pero no presentó evidencia requerida.  </w:t>
            </w:r>
          </w:p>
          <w:p w14:paraId="5CC3FA30" w14:textId="77777777" w:rsidR="000250B5" w:rsidRPr="00E440BE" w:rsidRDefault="000250B5" w:rsidP="000250B5">
            <w:pPr>
              <w:spacing w:after="0" w:line="240" w:lineRule="auto"/>
              <w:jc w:val="both"/>
              <w:rPr>
                <w:rFonts w:ascii="Calibri" w:hAnsi="Calibri" w:cs="Calibri"/>
                <w:color w:val="000000"/>
                <w:sz w:val="16"/>
                <w:szCs w:val="16"/>
              </w:rPr>
            </w:pPr>
          </w:p>
          <w:p w14:paraId="6561E9B6" w14:textId="77777777" w:rsidR="005C76C8" w:rsidRPr="00E440BE" w:rsidRDefault="005C76C8" w:rsidP="000250B5">
            <w:pPr>
              <w:spacing w:after="0" w:line="240" w:lineRule="auto"/>
              <w:jc w:val="both"/>
              <w:rPr>
                <w:rFonts w:ascii="Calibri" w:hAnsi="Calibri" w:cs="Calibri"/>
                <w:sz w:val="16"/>
                <w:szCs w:val="16"/>
              </w:rPr>
            </w:pPr>
            <w:r w:rsidRPr="00E440BE">
              <w:rPr>
                <w:rFonts w:ascii="Calibri" w:hAnsi="Calibri" w:cs="Calibri"/>
                <w:sz w:val="16"/>
                <w:szCs w:val="16"/>
              </w:rPr>
              <w:t>Recibimos terna de árbitro. Primer turno Unión eliminó a Rosalía Correa y la Administración a Yessena González. Árbitro Francisco Torres Arroyo. E</w:t>
            </w:r>
            <w:r w:rsidRPr="00E440BE">
              <w:rPr>
                <w:rFonts w:ascii="Calibri" w:hAnsi="Calibri" w:cs="Calibri"/>
                <w:b/>
                <w:bCs/>
                <w:sz w:val="16"/>
                <w:szCs w:val="16"/>
              </w:rPr>
              <w:t xml:space="preserve">l 11 de septiembre de 2024 se solicitó posposición ya que no se había recibido la enmienda de la querella de diciembre de 2023. El árbitro concedió hasta el 24 de octubre de 2024 para intentar conciliar la controversia. </w:t>
            </w:r>
          </w:p>
          <w:p w14:paraId="784FE8FE" w14:textId="77777777" w:rsidR="0089483F" w:rsidRPr="00E440BE" w:rsidRDefault="0089483F" w:rsidP="000250B5">
            <w:pPr>
              <w:spacing w:after="0" w:line="240" w:lineRule="auto"/>
              <w:jc w:val="both"/>
              <w:rPr>
                <w:rFonts w:ascii="Calibri" w:eastAsia="Times New Roman" w:hAnsi="Calibri" w:cs="Calibri"/>
                <w:color w:val="000000"/>
                <w:kern w:val="0"/>
                <w:sz w:val="16"/>
                <w:szCs w:val="16"/>
                <w14:ligatures w14:val="none"/>
              </w:rPr>
            </w:pPr>
          </w:p>
        </w:tc>
      </w:tr>
      <w:tr w:rsidR="005C76C8" w:rsidRPr="003E2CFD" w14:paraId="489676BC"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F707B9" w14:textId="77777777" w:rsidR="005C76C8" w:rsidRPr="00120D21" w:rsidRDefault="005C76C8" w:rsidP="000250B5">
            <w:pPr>
              <w:jc w:val="center"/>
              <w:rPr>
                <w:rFonts w:ascii="Calibri" w:hAnsi="Calibri" w:cs="Calibri"/>
                <w:sz w:val="22"/>
                <w:szCs w:val="22"/>
              </w:rPr>
            </w:pPr>
            <w:r w:rsidRPr="00120D21">
              <w:rPr>
                <w:rFonts w:ascii="Calibri" w:hAnsi="Calibri" w:cs="Calibri"/>
                <w:sz w:val="22"/>
                <w:szCs w:val="22"/>
              </w:rPr>
              <w:t>Junta de Relaciones del Trabajo (JRT)</w:t>
            </w:r>
          </w:p>
          <w:p w14:paraId="05F00DCA" w14:textId="77777777" w:rsidR="005C76C8" w:rsidRPr="00120D21" w:rsidRDefault="005C76C8" w:rsidP="000250B5">
            <w:pPr>
              <w:spacing w:after="0" w:line="240" w:lineRule="auto"/>
              <w:jc w:val="center"/>
              <w:rPr>
                <w:rFonts w:ascii="Calibri" w:eastAsia="Times New Roman" w:hAnsi="Calibri" w:cs="Calibri"/>
                <w:kern w:val="0"/>
                <w:sz w:val="22"/>
                <w:szCs w:val="22"/>
                <w14:ligatures w14:val="none"/>
              </w:rPr>
            </w:pP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654DC018" w14:textId="77777777" w:rsidR="005C76C8" w:rsidRPr="006D6A5D" w:rsidRDefault="005C76C8" w:rsidP="000250B5">
            <w:pPr>
              <w:jc w:val="center"/>
              <w:rPr>
                <w:rFonts w:ascii="Calibri" w:hAnsi="Calibri" w:cs="Calibri"/>
                <w:color w:val="000000"/>
                <w:sz w:val="16"/>
                <w:szCs w:val="16"/>
              </w:rPr>
            </w:pPr>
            <w:r w:rsidRPr="006D6A5D">
              <w:rPr>
                <w:rFonts w:ascii="Calibri" w:hAnsi="Calibri" w:cs="Calibri"/>
                <w:color w:val="000000"/>
                <w:sz w:val="16"/>
                <w:szCs w:val="16"/>
              </w:rPr>
              <w:t>CA-2019-67</w:t>
            </w:r>
          </w:p>
          <w:p w14:paraId="72CF3E05" w14:textId="77777777" w:rsidR="005C76C8" w:rsidRPr="006D6A5D" w:rsidRDefault="005C76C8"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138B35D6" w14:textId="77777777" w:rsidR="005C76C8" w:rsidRPr="006D6A5D" w:rsidRDefault="005C76C8" w:rsidP="000250B5">
            <w:pPr>
              <w:spacing w:after="0" w:line="240" w:lineRule="auto"/>
              <w:jc w:val="center"/>
              <w:rPr>
                <w:rFonts w:ascii="Calibri" w:eastAsia="Times New Roman" w:hAnsi="Calibri" w:cs="Calibri"/>
                <w:color w:val="000000"/>
                <w:kern w:val="0"/>
                <w:sz w:val="16"/>
                <w:szCs w:val="16"/>
                <w14:ligatures w14:val="none"/>
              </w:rPr>
            </w:pP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5E9D1B7F" w14:textId="77777777" w:rsidR="005C76C8" w:rsidRPr="006D6A5D" w:rsidRDefault="005C76C8" w:rsidP="000250B5">
            <w:pPr>
              <w:spacing w:after="0" w:line="240" w:lineRule="auto"/>
              <w:jc w:val="center"/>
              <w:rPr>
                <w:rFonts w:ascii="Calibri" w:eastAsia="Times New Roman" w:hAnsi="Calibri" w:cs="Calibri"/>
                <w:color w:val="000000"/>
                <w:kern w:val="0"/>
                <w:sz w:val="16"/>
                <w:szCs w:val="16"/>
                <w14:ligatures w14:val="none"/>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4C34BF49" w14:textId="77777777" w:rsidR="005C76C8" w:rsidRPr="006D6A5D" w:rsidRDefault="005C76C8"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E9B3FCB" w14:textId="77777777" w:rsidR="005C76C8" w:rsidRPr="006D6A5D" w:rsidRDefault="005C76C8"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4EB1448" w14:textId="77777777" w:rsidR="005C76C8" w:rsidRPr="006D6A5D" w:rsidRDefault="005C76C8"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0975D737" w14:textId="77777777" w:rsidR="005C76C8" w:rsidRPr="006D6A5D" w:rsidRDefault="005C76C8"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08CE1048" w14:textId="77777777" w:rsidR="005C76C8" w:rsidRPr="00E440BE" w:rsidRDefault="005C76C8"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64534F94" w14:textId="77777777" w:rsidR="005C76C8" w:rsidRPr="00E440BE" w:rsidRDefault="005C76C8"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6B20CE29" w14:textId="77777777" w:rsidR="005C76C8" w:rsidRPr="00E440BE" w:rsidRDefault="005C76C8" w:rsidP="000250B5">
            <w:pPr>
              <w:spacing w:after="0" w:line="240" w:lineRule="auto"/>
              <w:jc w:val="center"/>
              <w:rPr>
                <w:rFonts w:ascii="Calibri" w:eastAsia="Times New Roman" w:hAnsi="Calibri" w:cs="Calibri"/>
                <w:color w:val="000000"/>
                <w:kern w:val="0"/>
                <w:sz w:val="16"/>
                <w:szCs w:val="16"/>
                <w14:ligatures w14:val="none"/>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6491DC39" w14:textId="77777777" w:rsidR="005C76C8" w:rsidRPr="00E440BE" w:rsidRDefault="005C76C8" w:rsidP="000250B5">
            <w:pPr>
              <w:spacing w:after="0" w:line="240" w:lineRule="auto"/>
              <w:jc w:val="center"/>
              <w:rPr>
                <w:rFonts w:ascii="Calibri" w:eastAsia="Times New Roman" w:hAnsi="Calibri" w:cs="Calibri"/>
                <w:color w:val="000000"/>
                <w:kern w:val="0"/>
                <w:sz w:val="16"/>
                <w:szCs w:val="16"/>
                <w14:ligatures w14:val="none"/>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4ABA751C" w14:textId="77777777" w:rsidR="005C76C8" w:rsidRPr="00E440BE" w:rsidRDefault="005C76C8" w:rsidP="000250B5">
            <w:pPr>
              <w:spacing w:after="0" w:line="240" w:lineRule="auto"/>
              <w:jc w:val="center"/>
              <w:rPr>
                <w:rFonts w:ascii="Calibri" w:eastAsia="Times New Roman" w:hAnsi="Calibri" w:cs="Calibri"/>
                <w:color w:val="000000"/>
                <w:kern w:val="0"/>
                <w:sz w:val="16"/>
                <w:szCs w:val="16"/>
                <w14:ligatures w14:val="none"/>
              </w:rPr>
            </w:pPr>
          </w:p>
        </w:tc>
        <w:tc>
          <w:tcPr>
            <w:tcW w:w="4173" w:type="dxa"/>
            <w:tcBorders>
              <w:top w:val="single" w:sz="4" w:space="0" w:color="auto"/>
              <w:left w:val="nil"/>
              <w:bottom w:val="single" w:sz="4" w:space="0" w:color="auto"/>
              <w:right w:val="single" w:sz="4" w:space="0" w:color="auto"/>
            </w:tcBorders>
            <w:shd w:val="clear" w:color="auto" w:fill="auto"/>
            <w:vAlign w:val="center"/>
          </w:tcPr>
          <w:p w14:paraId="6E2B9D6B" w14:textId="77777777" w:rsidR="005C76C8" w:rsidRPr="00E440BE" w:rsidRDefault="005C76C8" w:rsidP="000250B5">
            <w:pPr>
              <w:spacing w:after="0" w:line="240" w:lineRule="auto"/>
              <w:jc w:val="both"/>
              <w:rPr>
                <w:rFonts w:ascii="Calibri" w:hAnsi="Calibri" w:cs="Calibri"/>
                <w:color w:val="000000"/>
                <w:sz w:val="16"/>
                <w:szCs w:val="16"/>
              </w:rPr>
            </w:pPr>
            <w:r w:rsidRPr="00E440BE">
              <w:rPr>
                <w:rFonts w:ascii="Calibri" w:hAnsi="Calibri" w:cs="Calibri"/>
                <w:color w:val="000000"/>
                <w:sz w:val="16"/>
                <w:szCs w:val="16"/>
              </w:rPr>
              <w:t>La Unión alega que violamos el Convenio Colectivo, estipulación Ley 66-2014 y la Ley 130-1945 al conceder beneficios económicos a un empleado unionado, sin haber discutido, negociado y acordado esto con la Unión.</w:t>
            </w:r>
          </w:p>
          <w:p w14:paraId="1A430171" w14:textId="77777777" w:rsidR="005C76C8" w:rsidRPr="00E440BE" w:rsidRDefault="005C76C8" w:rsidP="000250B5">
            <w:pPr>
              <w:spacing w:after="0" w:line="240" w:lineRule="auto"/>
              <w:jc w:val="both"/>
              <w:rPr>
                <w:rFonts w:ascii="Calibri" w:hAnsi="Calibri" w:cs="Calibri"/>
                <w:color w:val="000000"/>
                <w:sz w:val="16"/>
                <w:szCs w:val="16"/>
              </w:rPr>
            </w:pPr>
          </w:p>
          <w:p w14:paraId="179B115D" w14:textId="77777777" w:rsidR="005C76C8" w:rsidRDefault="005C76C8" w:rsidP="000250B5">
            <w:pPr>
              <w:spacing w:after="0" w:line="240" w:lineRule="auto"/>
              <w:jc w:val="both"/>
              <w:rPr>
                <w:rFonts w:ascii="Calibri" w:hAnsi="Calibri" w:cs="Calibri"/>
                <w:color w:val="000000"/>
                <w:sz w:val="16"/>
                <w:szCs w:val="16"/>
              </w:rPr>
            </w:pPr>
            <w:r w:rsidRPr="00E440BE">
              <w:rPr>
                <w:rFonts w:ascii="Calibri" w:hAnsi="Calibri" w:cs="Calibri"/>
                <w:color w:val="000000"/>
                <w:sz w:val="16"/>
                <w:szCs w:val="16"/>
              </w:rPr>
              <w:t xml:space="preserve">El 24 de octubre de 2019 se sometió a la JRT nuestra posición y solicitud de desestimación del cargo. Ante la necesidad apremiante del servicio y limitaciones presupuestarias se le asignaron deberes adicionales al empleado y de conformidad al Artículo 8 de la Ley 3-2017, se le concedió un diferencial con la autorización de OGP. </w:t>
            </w:r>
          </w:p>
          <w:p w14:paraId="32F5D0F0" w14:textId="77777777" w:rsidR="000250B5" w:rsidRPr="00E440BE" w:rsidRDefault="000250B5" w:rsidP="000250B5">
            <w:pPr>
              <w:spacing w:after="0" w:line="240" w:lineRule="auto"/>
              <w:jc w:val="both"/>
              <w:rPr>
                <w:rFonts w:ascii="Calibri" w:hAnsi="Calibri" w:cs="Calibri"/>
                <w:color w:val="000000"/>
                <w:sz w:val="16"/>
                <w:szCs w:val="16"/>
              </w:rPr>
            </w:pPr>
          </w:p>
          <w:p w14:paraId="1B5D4ADA" w14:textId="77777777" w:rsidR="005C76C8" w:rsidRDefault="006D6A5D" w:rsidP="000250B5">
            <w:pPr>
              <w:spacing w:after="0" w:line="240" w:lineRule="auto"/>
              <w:jc w:val="both"/>
              <w:rPr>
                <w:rFonts w:ascii="Calibri" w:hAnsi="Calibri" w:cs="Calibri"/>
                <w:b/>
                <w:bCs/>
                <w:sz w:val="16"/>
                <w:szCs w:val="16"/>
              </w:rPr>
            </w:pPr>
            <w:r w:rsidRPr="00E440BE">
              <w:rPr>
                <w:rFonts w:ascii="Calibri" w:hAnsi="Calibri" w:cs="Calibri"/>
                <w:sz w:val="16"/>
                <w:szCs w:val="16"/>
              </w:rPr>
              <w:t>La abogada de la JRT nos envió un borrador de estipulación y enviamos la contrapropuesta. El 21 de abril, sometieron querella y se solicitó prórroga.</w:t>
            </w:r>
            <w:r w:rsidRPr="00E440BE">
              <w:rPr>
                <w:rFonts w:ascii="Calibri" w:hAnsi="Calibri" w:cs="Calibri"/>
                <w:b/>
                <w:bCs/>
                <w:sz w:val="16"/>
                <w:szCs w:val="16"/>
              </w:rPr>
              <w:t xml:space="preserve"> El 5 de marzo, el nuevo representante de interés público (IP) envió una propuesta a la AT, pero la UIEAT no aceptó lo propuesto por la AT. El 1 de </w:t>
            </w:r>
            <w:r w:rsidRPr="00E440BE">
              <w:rPr>
                <w:rFonts w:ascii="Calibri" w:hAnsi="Calibri" w:cs="Calibri"/>
                <w:b/>
                <w:bCs/>
                <w:sz w:val="16"/>
                <w:szCs w:val="16"/>
              </w:rPr>
              <w:lastRenderedPageBreak/>
              <w:t xml:space="preserve">octubre de 2024 el IP respondió a la moción de desestimación y enmendó la querella para dejar sin efecto el inciso c de la querella, para no dejar sin efecto el diferencial que recibe el empleado. El 2 de octubre la AT solicitó tiempo para reaccionar. Vista pautada para el 19 de diciembre de 2024 a las 9:30 a.m. </w:t>
            </w:r>
          </w:p>
          <w:p w14:paraId="650D417E" w14:textId="77777777" w:rsidR="000250B5" w:rsidRPr="00E440BE" w:rsidRDefault="000250B5" w:rsidP="000250B5">
            <w:pPr>
              <w:spacing w:after="0" w:line="240" w:lineRule="auto"/>
              <w:jc w:val="both"/>
              <w:rPr>
                <w:rFonts w:ascii="Calibri" w:hAnsi="Calibri" w:cs="Calibri"/>
                <w:sz w:val="16"/>
                <w:szCs w:val="16"/>
              </w:rPr>
            </w:pPr>
          </w:p>
        </w:tc>
      </w:tr>
      <w:tr w:rsidR="005C76C8" w:rsidRPr="003E2CFD" w14:paraId="165973AD"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55DCB8" w14:textId="77777777" w:rsidR="005C76C8" w:rsidRPr="00120D21" w:rsidRDefault="005C76C8" w:rsidP="000250B5">
            <w:pPr>
              <w:jc w:val="center"/>
              <w:rPr>
                <w:rFonts w:ascii="Calibri" w:hAnsi="Calibri" w:cs="Calibri"/>
                <w:sz w:val="22"/>
                <w:szCs w:val="22"/>
              </w:rPr>
            </w:pPr>
            <w:r w:rsidRPr="00120D21">
              <w:rPr>
                <w:rFonts w:ascii="Calibri" w:hAnsi="Calibri" w:cs="Calibri"/>
                <w:sz w:val="22"/>
                <w:szCs w:val="22"/>
              </w:rPr>
              <w:lastRenderedPageBreak/>
              <w:t>Junta de Relaciones del Trabajo (JRT)</w:t>
            </w:r>
          </w:p>
          <w:p w14:paraId="2C015131" w14:textId="77777777" w:rsidR="005C76C8" w:rsidRPr="00120D21" w:rsidRDefault="005C76C8" w:rsidP="000250B5">
            <w:pPr>
              <w:spacing w:after="0" w:line="240" w:lineRule="auto"/>
              <w:jc w:val="center"/>
              <w:rPr>
                <w:rFonts w:ascii="Calibri" w:eastAsia="Times New Roman" w:hAnsi="Calibri" w:cs="Calibri"/>
                <w:kern w:val="0"/>
                <w:sz w:val="22"/>
                <w:szCs w:val="22"/>
                <w14:ligatures w14:val="none"/>
              </w:rPr>
            </w:pP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4994902E" w14:textId="77777777" w:rsidR="005C76C8" w:rsidRPr="006D6A5D" w:rsidRDefault="005C76C8" w:rsidP="000250B5">
            <w:pPr>
              <w:jc w:val="center"/>
              <w:rPr>
                <w:rFonts w:ascii="Calibri" w:hAnsi="Calibri" w:cs="Calibri"/>
                <w:color w:val="000000"/>
                <w:sz w:val="16"/>
                <w:szCs w:val="16"/>
              </w:rPr>
            </w:pPr>
            <w:r w:rsidRPr="006D6A5D">
              <w:rPr>
                <w:rFonts w:ascii="Calibri" w:hAnsi="Calibri" w:cs="Calibri"/>
                <w:color w:val="000000"/>
                <w:sz w:val="16"/>
                <w:szCs w:val="16"/>
              </w:rPr>
              <w:t>CA-2020-01</w:t>
            </w:r>
          </w:p>
          <w:p w14:paraId="636C0435" w14:textId="77777777" w:rsidR="005C76C8" w:rsidRPr="006D6A5D" w:rsidRDefault="005C76C8"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41EA5ABE" w14:textId="77777777" w:rsidR="005C76C8" w:rsidRPr="006D6A5D" w:rsidRDefault="005C76C8" w:rsidP="000250B5">
            <w:pPr>
              <w:spacing w:after="0" w:line="240" w:lineRule="auto"/>
              <w:jc w:val="center"/>
              <w:rPr>
                <w:rFonts w:ascii="Calibri" w:eastAsia="Times New Roman" w:hAnsi="Calibri" w:cs="Calibri"/>
                <w:color w:val="000000"/>
                <w:kern w:val="0"/>
                <w:sz w:val="16"/>
                <w:szCs w:val="16"/>
                <w14:ligatures w14:val="none"/>
              </w:rPr>
            </w:pP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56A7FDAB" w14:textId="77777777" w:rsidR="005C76C8" w:rsidRPr="006D6A5D" w:rsidRDefault="005C76C8" w:rsidP="000250B5">
            <w:pPr>
              <w:spacing w:after="0" w:line="240" w:lineRule="auto"/>
              <w:jc w:val="center"/>
              <w:rPr>
                <w:rFonts w:ascii="Calibri" w:eastAsia="Times New Roman" w:hAnsi="Calibri" w:cs="Calibri"/>
                <w:color w:val="000000"/>
                <w:kern w:val="0"/>
                <w:sz w:val="16"/>
                <w:szCs w:val="16"/>
                <w14:ligatures w14:val="none"/>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05BB7060" w14:textId="77777777" w:rsidR="005C76C8" w:rsidRPr="006D6A5D" w:rsidRDefault="005C76C8"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2D2D1E5" w14:textId="77777777" w:rsidR="005C76C8" w:rsidRPr="006D6A5D" w:rsidRDefault="005C76C8"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CCAE873" w14:textId="77777777" w:rsidR="005C76C8" w:rsidRPr="006D6A5D" w:rsidRDefault="005C76C8"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3F446EB4" w14:textId="77777777" w:rsidR="005C76C8" w:rsidRPr="006D6A5D" w:rsidRDefault="005C76C8"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3F57C196" w14:textId="77777777" w:rsidR="005C76C8" w:rsidRPr="00E440BE" w:rsidRDefault="005C76C8"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24AA7B4C" w14:textId="77777777" w:rsidR="005C76C8" w:rsidRPr="00E440BE" w:rsidRDefault="005C76C8"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3B48EA5A" w14:textId="77777777" w:rsidR="005C76C8" w:rsidRPr="00E440BE" w:rsidRDefault="005C76C8" w:rsidP="000250B5">
            <w:pPr>
              <w:spacing w:after="0" w:line="240" w:lineRule="auto"/>
              <w:jc w:val="center"/>
              <w:rPr>
                <w:rFonts w:ascii="Calibri" w:eastAsia="Times New Roman" w:hAnsi="Calibri" w:cs="Calibri"/>
                <w:color w:val="000000"/>
                <w:kern w:val="0"/>
                <w:sz w:val="16"/>
                <w:szCs w:val="16"/>
                <w14:ligatures w14:val="none"/>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77534D11" w14:textId="77777777" w:rsidR="005C76C8" w:rsidRPr="00E440BE" w:rsidRDefault="005C76C8" w:rsidP="000250B5">
            <w:pPr>
              <w:spacing w:after="0" w:line="240" w:lineRule="auto"/>
              <w:jc w:val="center"/>
              <w:rPr>
                <w:rFonts w:ascii="Calibri" w:eastAsia="Times New Roman" w:hAnsi="Calibri" w:cs="Calibri"/>
                <w:color w:val="000000"/>
                <w:kern w:val="0"/>
                <w:sz w:val="16"/>
                <w:szCs w:val="16"/>
                <w14:ligatures w14:val="none"/>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51C0853A" w14:textId="77777777" w:rsidR="005C76C8" w:rsidRPr="00E440BE" w:rsidRDefault="005C76C8" w:rsidP="000250B5">
            <w:pPr>
              <w:spacing w:after="0" w:line="240" w:lineRule="auto"/>
              <w:jc w:val="center"/>
              <w:rPr>
                <w:rFonts w:ascii="Calibri" w:eastAsia="Times New Roman" w:hAnsi="Calibri" w:cs="Calibri"/>
                <w:color w:val="000000"/>
                <w:kern w:val="0"/>
                <w:sz w:val="16"/>
                <w:szCs w:val="16"/>
                <w14:ligatures w14:val="none"/>
              </w:rPr>
            </w:pPr>
          </w:p>
        </w:tc>
        <w:tc>
          <w:tcPr>
            <w:tcW w:w="4173" w:type="dxa"/>
            <w:tcBorders>
              <w:top w:val="single" w:sz="4" w:space="0" w:color="auto"/>
              <w:left w:val="nil"/>
              <w:bottom w:val="single" w:sz="4" w:space="0" w:color="auto"/>
              <w:right w:val="single" w:sz="4" w:space="0" w:color="auto"/>
            </w:tcBorders>
            <w:shd w:val="clear" w:color="auto" w:fill="auto"/>
            <w:vAlign w:val="center"/>
          </w:tcPr>
          <w:p w14:paraId="61C3EC3E" w14:textId="77777777" w:rsidR="006D6A5D" w:rsidRPr="00E440BE" w:rsidRDefault="005C76C8" w:rsidP="000250B5">
            <w:pPr>
              <w:spacing w:after="0" w:line="240" w:lineRule="auto"/>
              <w:jc w:val="both"/>
              <w:rPr>
                <w:rFonts w:ascii="Calibri" w:hAnsi="Calibri" w:cs="Calibri"/>
                <w:color w:val="000000"/>
                <w:sz w:val="16"/>
                <w:szCs w:val="16"/>
              </w:rPr>
            </w:pPr>
            <w:r w:rsidRPr="00E440BE">
              <w:rPr>
                <w:rFonts w:ascii="Calibri" w:hAnsi="Calibri" w:cs="Calibri"/>
                <w:color w:val="000000"/>
                <w:sz w:val="16"/>
                <w:szCs w:val="16"/>
              </w:rPr>
              <w:t xml:space="preserve">La Unión argumenta que la Administración violó el Artículo XXII - Días Feriados (18 de noviembre de 2021).  Además, alegan que la Administración violó y continúa violando el Convenio, ya que los días feriados y su otorgación constituyen materia mandatoria de negociación colectiva. La acción </w:t>
            </w:r>
            <w:r w:rsidR="006D6A5D" w:rsidRPr="00E440BE">
              <w:rPr>
                <w:rFonts w:ascii="Calibri" w:hAnsi="Calibri" w:cs="Calibri"/>
                <w:color w:val="000000"/>
                <w:sz w:val="16"/>
                <w:szCs w:val="16"/>
              </w:rPr>
              <w:t>constituye</w:t>
            </w:r>
            <w:r w:rsidRPr="00E440BE">
              <w:rPr>
                <w:rFonts w:ascii="Calibri" w:hAnsi="Calibri" w:cs="Calibri"/>
                <w:color w:val="000000"/>
                <w:sz w:val="16"/>
                <w:szCs w:val="16"/>
              </w:rPr>
              <w:t xml:space="preserve"> una práctica ilícita.</w:t>
            </w:r>
          </w:p>
          <w:p w14:paraId="344AEF20" w14:textId="77777777" w:rsidR="006D6A5D" w:rsidRPr="00E440BE" w:rsidRDefault="006D6A5D" w:rsidP="000250B5">
            <w:pPr>
              <w:spacing w:after="0" w:line="240" w:lineRule="auto"/>
              <w:jc w:val="both"/>
              <w:rPr>
                <w:rFonts w:ascii="Calibri" w:hAnsi="Calibri" w:cs="Calibri"/>
                <w:color w:val="000000"/>
                <w:sz w:val="16"/>
                <w:szCs w:val="16"/>
              </w:rPr>
            </w:pPr>
          </w:p>
          <w:p w14:paraId="39C467FB" w14:textId="77777777" w:rsidR="006D6A5D" w:rsidRDefault="006D6A5D" w:rsidP="000250B5">
            <w:pPr>
              <w:spacing w:after="0" w:line="240" w:lineRule="auto"/>
              <w:jc w:val="both"/>
              <w:rPr>
                <w:rFonts w:ascii="Calibri" w:hAnsi="Calibri" w:cs="Calibri"/>
                <w:color w:val="000000"/>
                <w:sz w:val="16"/>
                <w:szCs w:val="16"/>
              </w:rPr>
            </w:pPr>
            <w:r w:rsidRPr="00E440BE">
              <w:rPr>
                <w:rFonts w:ascii="Calibri" w:hAnsi="Calibri" w:cs="Calibri"/>
                <w:color w:val="000000"/>
                <w:sz w:val="16"/>
                <w:szCs w:val="16"/>
              </w:rPr>
              <w:t>Mediante la Ley 26-2017 se dejaron sin efecto todas las disposiciones de los convenios colectivos y acuerdos, entre otros, sobre los beneficios marginales que podrán disfrutar los empleados públicos mayores a los establecidos en dicha Ley.  De igual forma, la Ley 111-2014.  En resumen, los días feriados serán los establecidos en dicha Ley o por proclama del(de la) Gobernador(a).</w:t>
            </w:r>
          </w:p>
          <w:p w14:paraId="3ED5DB5B" w14:textId="77777777" w:rsidR="000250B5" w:rsidRPr="00E440BE" w:rsidRDefault="000250B5" w:rsidP="000250B5">
            <w:pPr>
              <w:spacing w:after="0" w:line="240" w:lineRule="auto"/>
              <w:jc w:val="both"/>
              <w:rPr>
                <w:rFonts w:ascii="Calibri" w:hAnsi="Calibri" w:cs="Calibri"/>
                <w:color w:val="000000"/>
                <w:sz w:val="16"/>
                <w:szCs w:val="16"/>
              </w:rPr>
            </w:pPr>
          </w:p>
          <w:p w14:paraId="2D4CFD5D" w14:textId="77777777" w:rsidR="005C76C8" w:rsidRDefault="006D6A5D" w:rsidP="000250B5">
            <w:pPr>
              <w:spacing w:after="0" w:line="240" w:lineRule="auto"/>
              <w:jc w:val="both"/>
              <w:rPr>
                <w:rFonts w:ascii="Calibri" w:hAnsi="Calibri" w:cs="Calibri"/>
                <w:sz w:val="16"/>
                <w:szCs w:val="16"/>
              </w:rPr>
            </w:pPr>
            <w:r w:rsidRPr="00E440BE">
              <w:rPr>
                <w:rFonts w:ascii="Calibri" w:hAnsi="Calibri" w:cs="Calibri"/>
                <w:sz w:val="16"/>
                <w:szCs w:val="16"/>
              </w:rPr>
              <w:t>El 28 de febrero de 2023 se radicó solicitud resolución sumaria y memorando de derecho. El OE el 29 de enero contestó la solicitud de aclaración.</w:t>
            </w:r>
            <w:r w:rsidRPr="00E440BE">
              <w:rPr>
                <w:rFonts w:ascii="Calibri" w:hAnsi="Calibri" w:cs="Calibri"/>
                <w:b/>
                <w:bCs/>
                <w:sz w:val="16"/>
                <w:szCs w:val="16"/>
              </w:rPr>
              <w:t xml:space="preserve"> </w:t>
            </w:r>
            <w:r w:rsidRPr="00E440BE">
              <w:rPr>
                <w:rFonts w:ascii="Calibri" w:hAnsi="Calibri" w:cs="Calibri"/>
                <w:sz w:val="16"/>
                <w:szCs w:val="16"/>
              </w:rPr>
              <w:t xml:space="preserve">El 13 de febrero, el OE pidió expresarán su posición etc.  El 4 de marzo de 2024 se presentó su posición y contestación. El 6 de junio de 2024, el OE presentó su informe, en el que recomienda una multa de 2,500 por prácticas ilícitas. La AT presentó su informe de excepciones objetando la multa, ya que no violamos el convenio al acordar con el empleado una enmienda al plan de vacaciones.  La UIEAT presentó excepciones, ya que entiende que la administración puede otorgar días sin cargos por la estipulación de Ley 66. </w:t>
            </w:r>
          </w:p>
          <w:p w14:paraId="7DA0A150" w14:textId="77777777" w:rsidR="005C4726" w:rsidRPr="00E440BE" w:rsidRDefault="005C4726" w:rsidP="000250B5">
            <w:pPr>
              <w:spacing w:after="0" w:line="240" w:lineRule="auto"/>
              <w:jc w:val="both"/>
              <w:rPr>
                <w:rFonts w:ascii="Calibri" w:hAnsi="Calibri" w:cs="Calibri"/>
                <w:color w:val="000000"/>
                <w:sz w:val="16"/>
                <w:szCs w:val="16"/>
              </w:rPr>
            </w:pPr>
          </w:p>
        </w:tc>
      </w:tr>
      <w:tr w:rsidR="006D6A5D" w:rsidRPr="003E2CFD" w14:paraId="71DEA52F"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75FD6" w14:textId="77777777" w:rsidR="006D6A5D" w:rsidRPr="00120D21" w:rsidRDefault="006D6A5D" w:rsidP="000250B5">
            <w:pPr>
              <w:spacing w:after="0" w:line="240" w:lineRule="auto"/>
              <w:jc w:val="center"/>
              <w:rPr>
                <w:rFonts w:ascii="Calibri" w:hAnsi="Calibri" w:cs="Calibri"/>
                <w:sz w:val="22"/>
                <w:szCs w:val="22"/>
              </w:rPr>
            </w:pPr>
            <w:r w:rsidRPr="00120D21">
              <w:rPr>
                <w:rFonts w:ascii="Calibri" w:hAnsi="Calibri" w:cs="Calibri"/>
                <w:sz w:val="22"/>
                <w:szCs w:val="22"/>
              </w:rPr>
              <w:t>Junta de Relaciones del Trabajo (JRT)</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15E439C2" w14:textId="77777777" w:rsidR="006D6A5D" w:rsidRPr="006D6A5D" w:rsidRDefault="006D6A5D" w:rsidP="000250B5">
            <w:pPr>
              <w:spacing w:after="0" w:line="240" w:lineRule="auto"/>
              <w:jc w:val="center"/>
              <w:rPr>
                <w:rFonts w:ascii="Calibri" w:eastAsia="Times New Roman" w:hAnsi="Calibri" w:cs="Calibri"/>
                <w:color w:val="000000"/>
                <w:kern w:val="0"/>
                <w:sz w:val="16"/>
                <w:szCs w:val="16"/>
                <w14:ligatures w14:val="none"/>
              </w:rPr>
            </w:pPr>
            <w:r w:rsidRPr="006D6A5D">
              <w:rPr>
                <w:rFonts w:ascii="Calibri" w:hAnsi="Calibri" w:cs="Calibri"/>
                <w:color w:val="000000"/>
                <w:sz w:val="16"/>
                <w:szCs w:val="16"/>
              </w:rPr>
              <w:t>CA-2021-16</w:t>
            </w:r>
          </w:p>
        </w:tc>
        <w:tc>
          <w:tcPr>
            <w:tcW w:w="1350" w:type="dxa"/>
            <w:tcBorders>
              <w:top w:val="single" w:sz="4" w:space="0" w:color="auto"/>
              <w:left w:val="nil"/>
              <w:bottom w:val="single" w:sz="4" w:space="0" w:color="auto"/>
              <w:right w:val="single" w:sz="4" w:space="0" w:color="auto"/>
            </w:tcBorders>
            <w:shd w:val="clear" w:color="auto" w:fill="auto"/>
            <w:vAlign w:val="center"/>
          </w:tcPr>
          <w:p w14:paraId="6F8896F9" w14:textId="77777777" w:rsidR="006D6A5D" w:rsidRDefault="006D6A5D" w:rsidP="000250B5">
            <w:pPr>
              <w:spacing w:after="0" w:line="240" w:lineRule="auto"/>
              <w:jc w:val="center"/>
              <w:rPr>
                <w:rFonts w:ascii="Calibri" w:hAnsi="Calibri" w:cs="Calibri"/>
                <w:color w:val="000000"/>
                <w:sz w:val="16"/>
                <w:szCs w:val="16"/>
              </w:rPr>
            </w:pP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6614CF72" w14:textId="77777777" w:rsidR="006D6A5D" w:rsidRPr="00F44157" w:rsidRDefault="006D6A5D" w:rsidP="000250B5">
            <w:pPr>
              <w:spacing w:after="0" w:line="240" w:lineRule="auto"/>
              <w:jc w:val="center"/>
              <w:rPr>
                <w:rFonts w:ascii="Calibri" w:eastAsia="Times New Roman" w:hAnsi="Calibri" w:cs="Calibri"/>
                <w:color w:val="000000"/>
                <w:kern w:val="0"/>
                <w:sz w:val="16"/>
                <w:szCs w:val="16"/>
                <w14:ligatures w14:val="none"/>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476729BF" w14:textId="77777777" w:rsidR="006D6A5D" w:rsidRPr="00F44157" w:rsidRDefault="006D6A5D"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BB95C5A" w14:textId="77777777" w:rsidR="006D6A5D" w:rsidRPr="003E2CFD" w:rsidRDefault="006D6A5D"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118CBF9" w14:textId="77777777" w:rsidR="006D6A5D" w:rsidRPr="00173AF4" w:rsidRDefault="006D6A5D"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5F560325" w14:textId="77777777" w:rsidR="006D6A5D" w:rsidRPr="003E2CFD" w:rsidRDefault="006D6A5D"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01C38DAB" w14:textId="77777777" w:rsidR="006D6A5D" w:rsidRPr="00E440BE" w:rsidRDefault="006D6A5D" w:rsidP="000250B5">
            <w:pPr>
              <w:spacing w:after="0" w:line="240" w:lineRule="auto"/>
              <w:jc w:val="center"/>
              <w:rPr>
                <w:rFonts w:ascii="Calibri" w:hAnsi="Calibri" w:cs="Calibri"/>
                <w:color w:val="000000"/>
                <w:sz w:val="16"/>
                <w:szCs w:val="16"/>
              </w:rPr>
            </w:pPr>
            <w:r w:rsidRPr="00E440BE">
              <w:rPr>
                <w:rFonts w:ascii="Calibri" w:hAnsi="Calibri" w:cs="Calibri"/>
                <w:color w:val="000000"/>
                <w:sz w:val="16"/>
                <w:szCs w:val="16"/>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461E89D3" w14:textId="77777777" w:rsidR="006D6A5D" w:rsidRPr="00E440BE" w:rsidRDefault="006D6A5D"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1C9A400B" w14:textId="77777777" w:rsidR="006D6A5D" w:rsidRPr="00E440BE" w:rsidRDefault="006D6A5D" w:rsidP="000250B5">
            <w:pPr>
              <w:spacing w:after="0" w:line="240" w:lineRule="auto"/>
              <w:jc w:val="center"/>
              <w:rPr>
                <w:rFonts w:ascii="Calibri" w:hAnsi="Calibri" w:cs="Calibri"/>
                <w:color w:val="000000"/>
                <w:sz w:val="16"/>
                <w:szCs w:val="16"/>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6497AF0D" w14:textId="77777777" w:rsidR="006D6A5D" w:rsidRPr="00E440BE" w:rsidRDefault="006D6A5D" w:rsidP="000250B5">
            <w:pPr>
              <w:spacing w:after="0" w:line="240" w:lineRule="auto"/>
              <w:jc w:val="center"/>
              <w:rPr>
                <w:rFonts w:ascii="Calibri" w:eastAsia="Times New Roman" w:hAnsi="Calibri" w:cs="Calibri"/>
                <w:color w:val="000000"/>
                <w:kern w:val="0"/>
                <w:sz w:val="16"/>
                <w:szCs w:val="16"/>
                <w14:ligatures w14:val="none"/>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2A236362" w14:textId="77777777" w:rsidR="006D6A5D" w:rsidRPr="00E440BE" w:rsidRDefault="006D6A5D" w:rsidP="000250B5">
            <w:pPr>
              <w:spacing w:after="0" w:line="240" w:lineRule="auto"/>
              <w:jc w:val="center"/>
              <w:rPr>
                <w:rFonts w:ascii="Calibri" w:hAnsi="Calibri" w:cs="Calibri"/>
                <w:color w:val="000000"/>
                <w:sz w:val="16"/>
                <w:szCs w:val="16"/>
              </w:rPr>
            </w:pPr>
          </w:p>
        </w:tc>
        <w:tc>
          <w:tcPr>
            <w:tcW w:w="4173" w:type="dxa"/>
            <w:tcBorders>
              <w:top w:val="single" w:sz="4" w:space="0" w:color="auto"/>
              <w:left w:val="nil"/>
              <w:bottom w:val="single" w:sz="4" w:space="0" w:color="auto"/>
              <w:right w:val="single" w:sz="4" w:space="0" w:color="auto"/>
            </w:tcBorders>
            <w:shd w:val="clear" w:color="auto" w:fill="auto"/>
            <w:vAlign w:val="center"/>
          </w:tcPr>
          <w:p w14:paraId="2AA88264" w14:textId="77777777" w:rsidR="006D6A5D" w:rsidRPr="00E440BE" w:rsidRDefault="0086685E" w:rsidP="000250B5">
            <w:pPr>
              <w:spacing w:after="0" w:line="240" w:lineRule="auto"/>
              <w:jc w:val="both"/>
              <w:rPr>
                <w:rFonts w:ascii="Calibri" w:hAnsi="Calibri" w:cs="Calibri"/>
                <w:color w:val="000000"/>
                <w:sz w:val="16"/>
                <w:szCs w:val="16"/>
              </w:rPr>
            </w:pPr>
            <w:r w:rsidRPr="00E440BE">
              <w:rPr>
                <w:rFonts w:ascii="Calibri" w:hAnsi="Calibri" w:cs="Calibri"/>
                <w:color w:val="000000"/>
                <w:sz w:val="16"/>
                <w:szCs w:val="16"/>
              </w:rPr>
              <w:t>L</w:t>
            </w:r>
            <w:r w:rsidR="006D6A5D" w:rsidRPr="00E440BE">
              <w:rPr>
                <w:rFonts w:ascii="Calibri" w:hAnsi="Calibri" w:cs="Calibri"/>
                <w:color w:val="000000"/>
                <w:sz w:val="16"/>
                <w:szCs w:val="16"/>
              </w:rPr>
              <w:t xml:space="preserve">a Unión alega que la Administración de Terrenos incurrió y continúa incurriendo en violaciones al cargar el Jueves Santo (1 de abril de 2021) a la licencia de vacaciones indebidamente, ya que no discutió esto previamente con la Unión. </w:t>
            </w:r>
          </w:p>
          <w:p w14:paraId="1D9EFD5D" w14:textId="77777777" w:rsidR="006D6A5D" w:rsidRPr="00E440BE" w:rsidRDefault="006D6A5D" w:rsidP="000250B5">
            <w:pPr>
              <w:spacing w:after="0" w:line="240" w:lineRule="auto"/>
              <w:jc w:val="both"/>
              <w:rPr>
                <w:rFonts w:ascii="Calibri" w:hAnsi="Calibri" w:cs="Calibri"/>
                <w:color w:val="000000"/>
                <w:sz w:val="16"/>
                <w:szCs w:val="16"/>
              </w:rPr>
            </w:pPr>
          </w:p>
          <w:p w14:paraId="776A93C0" w14:textId="77777777" w:rsidR="006D6A5D" w:rsidRPr="00E440BE" w:rsidRDefault="006D6A5D" w:rsidP="000250B5">
            <w:pPr>
              <w:spacing w:after="0" w:line="240" w:lineRule="auto"/>
              <w:jc w:val="both"/>
              <w:rPr>
                <w:rFonts w:ascii="Calibri" w:hAnsi="Calibri" w:cs="Calibri"/>
                <w:color w:val="000000"/>
                <w:sz w:val="16"/>
                <w:szCs w:val="16"/>
              </w:rPr>
            </w:pPr>
            <w:r w:rsidRPr="00E440BE">
              <w:rPr>
                <w:rFonts w:ascii="Calibri" w:hAnsi="Calibri" w:cs="Calibri"/>
                <w:color w:val="000000"/>
                <w:sz w:val="16"/>
                <w:szCs w:val="16"/>
              </w:rPr>
              <w:t>La Administración sometió su posición escrita, incluyendo los documentos relevantes al caso el 3 de junio de 2021.</w:t>
            </w:r>
          </w:p>
          <w:p w14:paraId="4EB32B14" w14:textId="77777777" w:rsidR="006D6A5D" w:rsidRPr="00E440BE" w:rsidRDefault="006D6A5D" w:rsidP="000250B5">
            <w:pPr>
              <w:spacing w:after="0" w:line="240" w:lineRule="auto"/>
              <w:jc w:val="both"/>
              <w:rPr>
                <w:rFonts w:ascii="Calibri" w:hAnsi="Calibri" w:cs="Calibri"/>
                <w:b/>
                <w:bCs/>
                <w:sz w:val="16"/>
                <w:szCs w:val="16"/>
              </w:rPr>
            </w:pPr>
            <w:r w:rsidRPr="00E440BE">
              <w:rPr>
                <w:rFonts w:ascii="Calibri" w:hAnsi="Calibri" w:cs="Calibri"/>
                <w:b/>
                <w:bCs/>
                <w:sz w:val="16"/>
                <w:szCs w:val="16"/>
              </w:rPr>
              <w:t xml:space="preserve">En espera del pronunciamiento de la JRT. </w:t>
            </w:r>
          </w:p>
          <w:p w14:paraId="4A88818C" w14:textId="77777777" w:rsidR="006D6A5D" w:rsidRPr="00E440BE" w:rsidRDefault="006D6A5D" w:rsidP="000250B5">
            <w:pPr>
              <w:spacing w:after="0" w:line="240" w:lineRule="auto"/>
              <w:jc w:val="both"/>
              <w:rPr>
                <w:rFonts w:ascii="Calibri" w:hAnsi="Calibri" w:cs="Calibri"/>
                <w:color w:val="000000"/>
                <w:sz w:val="16"/>
                <w:szCs w:val="16"/>
              </w:rPr>
            </w:pPr>
            <w:r w:rsidRPr="00E440BE">
              <w:rPr>
                <w:rFonts w:ascii="Calibri" w:hAnsi="Calibri" w:cs="Calibri"/>
                <w:color w:val="000000"/>
                <w:sz w:val="16"/>
                <w:szCs w:val="16"/>
              </w:rPr>
              <w:t xml:space="preserve">  </w:t>
            </w:r>
          </w:p>
        </w:tc>
      </w:tr>
      <w:tr w:rsidR="006D6A5D" w:rsidRPr="003E2CFD" w14:paraId="077B451F"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73E74D" w14:textId="77777777" w:rsidR="006D6A5D" w:rsidRPr="00120D21" w:rsidRDefault="006D6A5D" w:rsidP="000250B5">
            <w:pPr>
              <w:spacing w:after="0" w:line="240" w:lineRule="auto"/>
              <w:jc w:val="center"/>
              <w:rPr>
                <w:rFonts w:ascii="Calibri" w:hAnsi="Calibri" w:cs="Calibri"/>
                <w:sz w:val="22"/>
                <w:szCs w:val="22"/>
              </w:rPr>
            </w:pPr>
            <w:r w:rsidRPr="00120D21">
              <w:rPr>
                <w:rFonts w:ascii="Calibri" w:hAnsi="Calibri" w:cs="Calibri"/>
                <w:sz w:val="22"/>
                <w:szCs w:val="22"/>
              </w:rPr>
              <w:lastRenderedPageBreak/>
              <w:t>Junta de Relaciones del Trabajo (JRT)</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4A7D25C0" w14:textId="77777777" w:rsidR="006D6A5D" w:rsidRPr="006D6A5D" w:rsidRDefault="006D6A5D" w:rsidP="000250B5">
            <w:pPr>
              <w:spacing w:after="0" w:line="240" w:lineRule="auto"/>
              <w:jc w:val="center"/>
              <w:rPr>
                <w:rFonts w:ascii="Calibri" w:eastAsia="Times New Roman" w:hAnsi="Calibri" w:cs="Calibri"/>
                <w:color w:val="000000"/>
                <w:kern w:val="0"/>
                <w:sz w:val="16"/>
                <w:szCs w:val="16"/>
                <w14:ligatures w14:val="none"/>
              </w:rPr>
            </w:pPr>
            <w:r w:rsidRPr="006D6A5D">
              <w:rPr>
                <w:rFonts w:ascii="Calibri" w:hAnsi="Calibri" w:cs="Calibri"/>
                <w:color w:val="000000"/>
                <w:sz w:val="16"/>
                <w:szCs w:val="16"/>
              </w:rPr>
              <w:t>CA-2022-11</w:t>
            </w:r>
          </w:p>
        </w:tc>
        <w:tc>
          <w:tcPr>
            <w:tcW w:w="1350" w:type="dxa"/>
            <w:tcBorders>
              <w:top w:val="single" w:sz="4" w:space="0" w:color="auto"/>
              <w:left w:val="nil"/>
              <w:bottom w:val="single" w:sz="4" w:space="0" w:color="auto"/>
              <w:right w:val="single" w:sz="4" w:space="0" w:color="auto"/>
            </w:tcBorders>
            <w:shd w:val="clear" w:color="auto" w:fill="auto"/>
            <w:vAlign w:val="center"/>
          </w:tcPr>
          <w:p w14:paraId="3E1E1A1B" w14:textId="77777777" w:rsidR="006D6A5D" w:rsidRDefault="006D6A5D" w:rsidP="000250B5">
            <w:pPr>
              <w:spacing w:after="0" w:line="240" w:lineRule="auto"/>
              <w:jc w:val="center"/>
              <w:rPr>
                <w:rFonts w:ascii="Calibri" w:hAnsi="Calibri" w:cs="Calibri"/>
                <w:color w:val="000000"/>
                <w:sz w:val="16"/>
                <w:szCs w:val="16"/>
              </w:rPr>
            </w:pP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23DC521B" w14:textId="77777777" w:rsidR="006D6A5D" w:rsidRPr="00F44157" w:rsidRDefault="006D6A5D" w:rsidP="000250B5">
            <w:pPr>
              <w:spacing w:after="0" w:line="240" w:lineRule="auto"/>
              <w:jc w:val="center"/>
              <w:rPr>
                <w:rFonts w:ascii="Calibri" w:eastAsia="Times New Roman" w:hAnsi="Calibri" w:cs="Calibri"/>
                <w:color w:val="000000"/>
                <w:kern w:val="0"/>
                <w:sz w:val="16"/>
                <w:szCs w:val="16"/>
                <w14:ligatures w14:val="none"/>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5646968C" w14:textId="77777777" w:rsidR="006D6A5D" w:rsidRPr="00F44157" w:rsidRDefault="006D6A5D"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D0A504C" w14:textId="77777777" w:rsidR="006D6A5D" w:rsidRPr="003E2CFD" w:rsidRDefault="006D6A5D"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FB772D7" w14:textId="77777777" w:rsidR="006D6A5D" w:rsidRPr="00173AF4" w:rsidRDefault="006D6A5D"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7BBD65EA" w14:textId="77777777" w:rsidR="006D6A5D" w:rsidRPr="003E2CFD" w:rsidRDefault="006D6A5D"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2BFBAA9C" w14:textId="77777777" w:rsidR="006D6A5D" w:rsidRPr="00E440BE" w:rsidRDefault="0086685E" w:rsidP="000250B5">
            <w:pPr>
              <w:spacing w:after="0" w:line="240" w:lineRule="auto"/>
              <w:jc w:val="center"/>
              <w:rPr>
                <w:rFonts w:ascii="Calibri" w:hAnsi="Calibri" w:cs="Calibri"/>
                <w:color w:val="000000"/>
                <w:sz w:val="16"/>
                <w:szCs w:val="16"/>
              </w:rPr>
            </w:pPr>
            <w:r w:rsidRPr="00E440BE">
              <w:rPr>
                <w:rFonts w:ascii="Calibri" w:hAnsi="Calibri" w:cs="Calibri"/>
                <w:color w:val="000000"/>
                <w:sz w:val="16"/>
                <w:szCs w:val="16"/>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70CCEC06" w14:textId="77777777" w:rsidR="006D6A5D" w:rsidRPr="00E440BE" w:rsidRDefault="0086685E"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eastAsia="Times New Roman" w:hAnsi="Calibri" w:cs="Calibri"/>
                <w:color w:val="000000"/>
                <w:kern w:val="0"/>
                <w:sz w:val="16"/>
                <w:szCs w:val="16"/>
                <w14:ligatures w14:val="none"/>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00879BB8" w14:textId="77777777" w:rsidR="006D6A5D" w:rsidRPr="00E440BE" w:rsidRDefault="006D6A5D" w:rsidP="000250B5">
            <w:pPr>
              <w:spacing w:after="0" w:line="240" w:lineRule="auto"/>
              <w:jc w:val="center"/>
              <w:rPr>
                <w:rFonts w:ascii="Calibri" w:hAnsi="Calibri" w:cs="Calibri"/>
                <w:color w:val="000000"/>
                <w:sz w:val="16"/>
                <w:szCs w:val="16"/>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6D6D86C8" w14:textId="77777777" w:rsidR="006D6A5D" w:rsidRPr="00E440BE" w:rsidRDefault="006D6A5D" w:rsidP="000250B5">
            <w:pPr>
              <w:spacing w:after="0" w:line="240" w:lineRule="auto"/>
              <w:jc w:val="center"/>
              <w:rPr>
                <w:rFonts w:ascii="Calibri" w:eastAsia="Times New Roman" w:hAnsi="Calibri" w:cs="Calibri"/>
                <w:color w:val="000000"/>
                <w:kern w:val="0"/>
                <w:sz w:val="16"/>
                <w:szCs w:val="16"/>
                <w14:ligatures w14:val="none"/>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1DD8958E" w14:textId="77777777" w:rsidR="006D6A5D" w:rsidRPr="00E440BE" w:rsidRDefault="006D6A5D" w:rsidP="000250B5">
            <w:pPr>
              <w:spacing w:after="0" w:line="240" w:lineRule="auto"/>
              <w:jc w:val="center"/>
              <w:rPr>
                <w:rFonts w:ascii="Calibri" w:hAnsi="Calibri" w:cs="Calibri"/>
                <w:color w:val="000000"/>
                <w:sz w:val="16"/>
                <w:szCs w:val="16"/>
              </w:rPr>
            </w:pPr>
          </w:p>
        </w:tc>
        <w:tc>
          <w:tcPr>
            <w:tcW w:w="4173" w:type="dxa"/>
            <w:tcBorders>
              <w:top w:val="single" w:sz="4" w:space="0" w:color="auto"/>
              <w:left w:val="nil"/>
              <w:bottom w:val="single" w:sz="4" w:space="0" w:color="auto"/>
              <w:right w:val="single" w:sz="4" w:space="0" w:color="auto"/>
            </w:tcBorders>
            <w:shd w:val="clear" w:color="auto" w:fill="auto"/>
            <w:vAlign w:val="center"/>
          </w:tcPr>
          <w:p w14:paraId="18EE2102" w14:textId="77777777" w:rsidR="006D6A5D" w:rsidRPr="00E440BE" w:rsidRDefault="006D6A5D" w:rsidP="000250B5">
            <w:pPr>
              <w:spacing w:after="0" w:line="240" w:lineRule="auto"/>
              <w:jc w:val="both"/>
              <w:rPr>
                <w:rFonts w:ascii="Calibri" w:hAnsi="Calibri" w:cs="Calibri"/>
                <w:color w:val="000000"/>
                <w:sz w:val="16"/>
                <w:szCs w:val="16"/>
              </w:rPr>
            </w:pPr>
            <w:r w:rsidRPr="00E440BE">
              <w:rPr>
                <w:rFonts w:ascii="Calibri" w:hAnsi="Calibri" w:cs="Calibri"/>
                <w:color w:val="000000"/>
                <w:sz w:val="16"/>
                <w:szCs w:val="16"/>
              </w:rPr>
              <w:t>La Unión alega que la Administración de Terrenos incurrió y continúa incurriendo en violaciones al cargar el Jueves Santo (1 de abril de 2022) a la licencia de vacaciones.</w:t>
            </w:r>
            <w:r w:rsidR="0086685E" w:rsidRPr="00E440BE">
              <w:rPr>
                <w:rFonts w:ascii="Calibri" w:hAnsi="Calibri" w:cs="Calibri"/>
                <w:color w:val="000000"/>
                <w:sz w:val="16"/>
                <w:szCs w:val="16"/>
              </w:rPr>
              <w:t xml:space="preserve"> Solicita q</w:t>
            </w:r>
            <w:r w:rsidRPr="00E440BE">
              <w:rPr>
                <w:rFonts w:ascii="Calibri" w:hAnsi="Calibri" w:cs="Calibri"/>
                <w:color w:val="000000"/>
                <w:sz w:val="16"/>
                <w:szCs w:val="16"/>
              </w:rPr>
              <w:t xml:space="preserve">ue se </w:t>
            </w:r>
            <w:r w:rsidR="0086685E" w:rsidRPr="00E440BE">
              <w:rPr>
                <w:rFonts w:ascii="Calibri" w:hAnsi="Calibri" w:cs="Calibri"/>
                <w:color w:val="000000"/>
                <w:sz w:val="16"/>
                <w:szCs w:val="16"/>
              </w:rPr>
              <w:t>les</w:t>
            </w:r>
            <w:r w:rsidRPr="00E440BE">
              <w:rPr>
                <w:rFonts w:ascii="Calibri" w:hAnsi="Calibri" w:cs="Calibri"/>
                <w:color w:val="000000"/>
                <w:sz w:val="16"/>
                <w:szCs w:val="16"/>
              </w:rPr>
              <w:t xml:space="preserve"> restituya a los empleados el tiempo descontado, le imponga multas, sanciones, penalidades</w:t>
            </w:r>
            <w:r w:rsidR="0086685E" w:rsidRPr="00E440BE">
              <w:rPr>
                <w:rFonts w:ascii="Calibri" w:hAnsi="Calibri" w:cs="Calibri"/>
                <w:color w:val="000000"/>
                <w:sz w:val="16"/>
                <w:szCs w:val="16"/>
              </w:rPr>
              <w:t>,</w:t>
            </w:r>
            <w:r w:rsidRPr="00E440BE">
              <w:rPr>
                <w:rFonts w:ascii="Calibri" w:hAnsi="Calibri" w:cs="Calibri"/>
                <w:color w:val="000000"/>
                <w:sz w:val="16"/>
                <w:szCs w:val="16"/>
              </w:rPr>
              <w:t xml:space="preserve"> etc.</w:t>
            </w:r>
          </w:p>
          <w:p w14:paraId="02751AF4" w14:textId="77777777" w:rsidR="006D6A5D" w:rsidRPr="00E440BE" w:rsidRDefault="006D6A5D" w:rsidP="000250B5">
            <w:pPr>
              <w:spacing w:after="0" w:line="240" w:lineRule="auto"/>
              <w:jc w:val="both"/>
              <w:rPr>
                <w:rFonts w:ascii="Calibri" w:hAnsi="Calibri" w:cs="Calibri"/>
                <w:color w:val="000000"/>
                <w:sz w:val="16"/>
                <w:szCs w:val="16"/>
              </w:rPr>
            </w:pPr>
          </w:p>
          <w:p w14:paraId="6197B238" w14:textId="77777777" w:rsidR="000250B5" w:rsidRDefault="0086685E" w:rsidP="000250B5">
            <w:pPr>
              <w:spacing w:after="0" w:line="240" w:lineRule="auto"/>
              <w:jc w:val="both"/>
              <w:rPr>
                <w:rFonts w:ascii="Calibri" w:hAnsi="Calibri" w:cs="Calibri"/>
                <w:b/>
                <w:bCs/>
                <w:sz w:val="16"/>
                <w:szCs w:val="16"/>
              </w:rPr>
            </w:pPr>
            <w:r w:rsidRPr="00E440BE">
              <w:rPr>
                <w:rFonts w:ascii="Calibri" w:hAnsi="Calibri" w:cs="Calibri"/>
                <w:color w:val="000000"/>
                <w:sz w:val="16"/>
                <w:szCs w:val="16"/>
              </w:rPr>
              <w:t xml:space="preserve">El 24 de mayo, se sometió borrador de posición del patrono sobre el cargo, pero se solicitó un plazo adicional a la JRT. </w:t>
            </w:r>
            <w:r w:rsidRPr="00E440BE">
              <w:rPr>
                <w:rFonts w:ascii="Calibri" w:hAnsi="Calibri" w:cs="Calibri"/>
                <w:b/>
                <w:bCs/>
                <w:sz w:val="16"/>
                <w:szCs w:val="16"/>
              </w:rPr>
              <w:t>Se sometió el 10 de junio la posición de la Administración ante el cargo.</w:t>
            </w:r>
          </w:p>
          <w:p w14:paraId="139CF54D" w14:textId="77777777" w:rsidR="006D6A5D" w:rsidRPr="00E440BE" w:rsidRDefault="0086685E" w:rsidP="000250B5">
            <w:pPr>
              <w:spacing w:after="0" w:line="240" w:lineRule="auto"/>
              <w:jc w:val="both"/>
              <w:rPr>
                <w:rFonts w:ascii="Calibri" w:hAnsi="Calibri" w:cs="Calibri"/>
                <w:b/>
                <w:bCs/>
                <w:sz w:val="16"/>
                <w:szCs w:val="16"/>
              </w:rPr>
            </w:pPr>
            <w:r w:rsidRPr="00E440BE">
              <w:rPr>
                <w:rFonts w:ascii="Calibri" w:hAnsi="Calibri" w:cs="Calibri"/>
                <w:b/>
                <w:bCs/>
                <w:sz w:val="16"/>
                <w:szCs w:val="16"/>
              </w:rPr>
              <w:t xml:space="preserve"> </w:t>
            </w:r>
          </w:p>
        </w:tc>
      </w:tr>
      <w:tr w:rsidR="007E6DCB" w:rsidRPr="003E2CFD" w14:paraId="2273B2BC"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1767F1" w14:textId="77777777" w:rsidR="007E6DCB" w:rsidRPr="00120D21" w:rsidRDefault="007E6DCB" w:rsidP="000250B5">
            <w:pPr>
              <w:spacing w:after="0" w:line="240" w:lineRule="auto"/>
              <w:jc w:val="center"/>
              <w:rPr>
                <w:rFonts w:ascii="Calibri" w:eastAsia="Times New Roman" w:hAnsi="Calibri" w:cs="Calibri"/>
                <w:kern w:val="0"/>
                <w:sz w:val="22"/>
                <w:szCs w:val="22"/>
                <w14:ligatures w14:val="none"/>
              </w:rPr>
            </w:pPr>
            <w:r w:rsidRPr="00120D21">
              <w:rPr>
                <w:rFonts w:ascii="Calibri" w:hAnsi="Calibri" w:cs="Calibri"/>
                <w:sz w:val="22"/>
                <w:szCs w:val="22"/>
              </w:rPr>
              <w:t>Ineabelle Marty Sierra v. AT</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5FFB4C6F" w14:textId="77777777" w:rsidR="007E6DCB" w:rsidRPr="003E2CFD" w:rsidRDefault="007E6DCB"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46B02DE4" w14:textId="77777777" w:rsidR="007E6DCB" w:rsidRPr="00173AF4" w:rsidRDefault="007E6DCB" w:rsidP="000250B5">
            <w:pPr>
              <w:spacing w:after="0" w:line="240" w:lineRule="auto"/>
              <w:jc w:val="center"/>
              <w:rPr>
                <w:rFonts w:ascii="Calibri" w:eastAsia="Times New Roman" w:hAnsi="Calibri" w:cs="Calibri"/>
                <w:color w:val="000000"/>
                <w:kern w:val="0"/>
                <w:sz w:val="16"/>
                <w:szCs w:val="16"/>
                <w14:ligatures w14:val="none"/>
              </w:rPr>
            </w:pPr>
            <w:r>
              <w:rPr>
                <w:rFonts w:ascii="Calibri" w:hAnsi="Calibri" w:cs="Calibri"/>
                <w:color w:val="000000"/>
                <w:sz w:val="16"/>
                <w:szCs w:val="16"/>
              </w:rPr>
              <w:t>D DP2011-085</w:t>
            </w: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6FDD6F6C" w14:textId="77777777" w:rsidR="007E6DCB" w:rsidRPr="00F44157" w:rsidRDefault="007E6DCB" w:rsidP="000250B5">
            <w:pPr>
              <w:spacing w:after="0" w:line="240" w:lineRule="auto"/>
              <w:jc w:val="center"/>
              <w:rPr>
                <w:rFonts w:ascii="Calibri" w:eastAsia="Times New Roman" w:hAnsi="Calibri" w:cs="Calibri"/>
                <w:color w:val="000000"/>
                <w:kern w:val="0"/>
                <w:sz w:val="16"/>
                <w:szCs w:val="16"/>
                <w14:ligatures w14:val="none"/>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1D087C25" w14:textId="77777777" w:rsidR="007E6DCB" w:rsidRPr="00F44157" w:rsidRDefault="007E6DCB"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98F5F4C" w14:textId="77777777" w:rsidR="007E6DCB" w:rsidRPr="003E2CFD" w:rsidRDefault="007E6DCB"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C47C7DE" w14:textId="77777777" w:rsidR="007E6DCB" w:rsidRPr="00173AF4" w:rsidRDefault="007E6DCB"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28CB60A6" w14:textId="77777777" w:rsidR="007E6DCB" w:rsidRPr="003E2CFD" w:rsidRDefault="007E6DCB"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1D478158" w14:textId="77777777" w:rsidR="007E6DCB" w:rsidRPr="00E440BE" w:rsidRDefault="007E6DCB"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hAnsi="Calibri" w:cs="Calibri"/>
                <w:color w:val="000000"/>
                <w:sz w:val="16"/>
                <w:szCs w:val="16"/>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5B39D9EB" w14:textId="77777777" w:rsidR="007E6DCB" w:rsidRPr="00E440BE" w:rsidRDefault="007E6DCB" w:rsidP="000250B5">
            <w:pPr>
              <w:spacing w:after="0" w:line="240" w:lineRule="auto"/>
              <w:jc w:val="center"/>
              <w:rPr>
                <w:rFonts w:ascii="Calibri" w:eastAsia="Times New Roman" w:hAnsi="Calibri" w:cs="Calibri"/>
                <w:color w:val="000000"/>
                <w:kern w:val="0"/>
                <w:sz w:val="16"/>
                <w:szCs w:val="16"/>
                <w14:ligatures w14:val="none"/>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5569FB1D" w14:textId="77777777" w:rsidR="007E6DCB" w:rsidRPr="00E440BE" w:rsidRDefault="007E6DCB"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hAnsi="Calibri" w:cs="Calibri"/>
                <w:color w:val="000000"/>
                <w:sz w:val="16"/>
                <w:szCs w:val="16"/>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5DD37335" w14:textId="77777777" w:rsidR="007E6DCB" w:rsidRPr="00E440BE" w:rsidRDefault="007E6DCB" w:rsidP="000250B5">
            <w:pPr>
              <w:spacing w:after="0" w:line="240" w:lineRule="auto"/>
              <w:jc w:val="center"/>
              <w:rPr>
                <w:rFonts w:ascii="Calibri" w:eastAsia="Times New Roman" w:hAnsi="Calibri" w:cs="Calibri"/>
                <w:color w:val="000000"/>
                <w:kern w:val="0"/>
                <w:sz w:val="16"/>
                <w:szCs w:val="16"/>
                <w14:ligatures w14:val="none"/>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13F792C5" w14:textId="77777777" w:rsidR="007E6DCB" w:rsidRPr="00E440BE" w:rsidRDefault="007E6DCB"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hAnsi="Calibri" w:cs="Calibri"/>
                <w:color w:val="000000"/>
                <w:sz w:val="16"/>
                <w:szCs w:val="16"/>
              </w:rPr>
              <w:t>$211,000.00</w:t>
            </w:r>
          </w:p>
        </w:tc>
        <w:tc>
          <w:tcPr>
            <w:tcW w:w="4173" w:type="dxa"/>
            <w:tcBorders>
              <w:top w:val="single" w:sz="4" w:space="0" w:color="auto"/>
              <w:left w:val="nil"/>
              <w:bottom w:val="single" w:sz="4" w:space="0" w:color="auto"/>
              <w:right w:val="single" w:sz="4" w:space="0" w:color="auto"/>
            </w:tcBorders>
            <w:shd w:val="clear" w:color="auto" w:fill="auto"/>
            <w:vAlign w:val="center"/>
          </w:tcPr>
          <w:p w14:paraId="1BC6533B" w14:textId="77777777" w:rsidR="007E6DCB" w:rsidRPr="00E440BE" w:rsidRDefault="007E6DCB" w:rsidP="000250B5">
            <w:pPr>
              <w:spacing w:after="0" w:line="240" w:lineRule="auto"/>
              <w:jc w:val="both"/>
              <w:rPr>
                <w:rFonts w:ascii="Calibri" w:eastAsia="Times New Roman" w:hAnsi="Calibri" w:cs="Calibri"/>
                <w:color w:val="000000"/>
                <w:kern w:val="0"/>
                <w:sz w:val="16"/>
                <w:szCs w:val="16"/>
                <w14:ligatures w14:val="none"/>
              </w:rPr>
            </w:pPr>
            <w:r w:rsidRPr="00E440BE">
              <w:rPr>
                <w:rFonts w:ascii="Calibri" w:hAnsi="Calibri" w:cs="Calibri"/>
                <w:color w:val="000000"/>
                <w:sz w:val="16"/>
                <w:szCs w:val="16"/>
              </w:rPr>
              <w:t xml:space="preserve">El caso fue referido a la Aseguradora de la Administración.  Tiene sentencia dictada el 18 de octubre de 2019. </w:t>
            </w:r>
          </w:p>
        </w:tc>
      </w:tr>
      <w:tr w:rsidR="007E6DCB" w:rsidRPr="003E2CFD" w14:paraId="6841E63B"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CA7E5" w14:textId="77777777" w:rsidR="007E6DCB" w:rsidRPr="00120D21" w:rsidRDefault="007E6DCB" w:rsidP="000250B5">
            <w:pPr>
              <w:spacing w:after="0" w:line="240" w:lineRule="auto"/>
              <w:jc w:val="center"/>
              <w:rPr>
                <w:rFonts w:ascii="Calibri" w:eastAsia="Times New Roman" w:hAnsi="Calibri" w:cs="Calibri"/>
                <w:kern w:val="0"/>
                <w:sz w:val="22"/>
                <w:szCs w:val="22"/>
                <w:lang w:val="en-US"/>
                <w14:ligatures w14:val="none"/>
              </w:rPr>
            </w:pPr>
            <w:r w:rsidRPr="00120D21">
              <w:rPr>
                <w:rFonts w:ascii="Calibri" w:hAnsi="Calibri" w:cs="Calibri"/>
                <w:sz w:val="22"/>
                <w:szCs w:val="22"/>
                <w:lang w:val="en-US"/>
              </w:rPr>
              <w:t xml:space="preserve">AT v. </w:t>
            </w:r>
            <w:proofErr w:type="spellStart"/>
            <w:r w:rsidRPr="00120D21">
              <w:rPr>
                <w:rFonts w:ascii="Calibri" w:hAnsi="Calibri" w:cs="Calibri"/>
                <w:sz w:val="22"/>
                <w:szCs w:val="22"/>
                <w:lang w:val="en-US"/>
              </w:rPr>
              <w:t>Sucn</w:t>
            </w:r>
            <w:proofErr w:type="spellEnd"/>
            <w:r w:rsidRPr="00120D21">
              <w:rPr>
                <w:rFonts w:ascii="Calibri" w:hAnsi="Calibri" w:cs="Calibri"/>
                <w:sz w:val="22"/>
                <w:szCs w:val="22"/>
                <w:lang w:val="en-US"/>
              </w:rPr>
              <w:t>. Pedro Falú</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53E1CE9D" w14:textId="77777777" w:rsidR="007E6DCB" w:rsidRPr="00F13E8E" w:rsidRDefault="007E6DCB" w:rsidP="000250B5">
            <w:pPr>
              <w:spacing w:after="0" w:line="240" w:lineRule="auto"/>
              <w:jc w:val="center"/>
              <w:rPr>
                <w:rFonts w:ascii="Calibri" w:eastAsia="Times New Roman" w:hAnsi="Calibri" w:cs="Calibri"/>
                <w:color w:val="000000"/>
                <w:kern w:val="0"/>
                <w:sz w:val="16"/>
                <w:szCs w:val="16"/>
                <w:lang w:val="en-US"/>
                <w14:ligatures w14:val="none"/>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18C02F62" w14:textId="77777777" w:rsidR="007E6DCB" w:rsidRPr="00173AF4" w:rsidRDefault="007E6DCB" w:rsidP="000250B5">
            <w:pPr>
              <w:spacing w:after="0" w:line="240" w:lineRule="auto"/>
              <w:jc w:val="center"/>
              <w:rPr>
                <w:rFonts w:ascii="Calibri" w:eastAsia="Times New Roman" w:hAnsi="Calibri" w:cs="Calibri"/>
                <w:color w:val="000000"/>
                <w:kern w:val="0"/>
                <w:sz w:val="16"/>
                <w:szCs w:val="16"/>
                <w14:ligatures w14:val="none"/>
              </w:rPr>
            </w:pPr>
            <w:r>
              <w:rPr>
                <w:rFonts w:ascii="Calibri" w:hAnsi="Calibri" w:cs="Calibri"/>
                <w:color w:val="000000"/>
                <w:sz w:val="16"/>
                <w:szCs w:val="16"/>
              </w:rPr>
              <w:t>K EF2012-0289</w:t>
            </w: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1FE68DFB" w14:textId="77777777" w:rsidR="007E6DCB" w:rsidRPr="00F44157" w:rsidRDefault="007E6DCB" w:rsidP="000250B5">
            <w:pPr>
              <w:spacing w:after="0" w:line="240" w:lineRule="auto"/>
              <w:jc w:val="center"/>
              <w:rPr>
                <w:rFonts w:ascii="Calibri" w:eastAsia="Times New Roman" w:hAnsi="Calibri" w:cs="Calibri"/>
                <w:color w:val="000000"/>
                <w:kern w:val="0"/>
                <w:sz w:val="16"/>
                <w:szCs w:val="16"/>
                <w14:ligatures w14:val="none"/>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6AE1A5AE" w14:textId="77777777" w:rsidR="007E6DCB" w:rsidRPr="00F44157" w:rsidRDefault="007E6DCB"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D9DF9B2" w14:textId="77777777" w:rsidR="007E6DCB" w:rsidRPr="003E2CFD" w:rsidRDefault="007E6DCB" w:rsidP="000250B5">
            <w:pPr>
              <w:spacing w:after="0" w:line="240" w:lineRule="auto"/>
              <w:jc w:val="center"/>
              <w:rPr>
                <w:rFonts w:ascii="Calibri" w:eastAsia="Times New Roman" w:hAnsi="Calibri" w:cs="Calibri"/>
                <w:color w:val="000000"/>
                <w:kern w:val="0"/>
                <w:sz w:val="16"/>
                <w:szCs w:val="16"/>
                <w14:ligatures w14:val="none"/>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0811AAC" w14:textId="77777777" w:rsidR="007E6DCB" w:rsidRPr="00173AF4" w:rsidRDefault="007E6DCB"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53E91FCF" w14:textId="77777777" w:rsidR="007E6DCB" w:rsidRPr="003E2CFD" w:rsidRDefault="007E6DCB" w:rsidP="000250B5">
            <w:pPr>
              <w:spacing w:after="0" w:line="240" w:lineRule="auto"/>
              <w:jc w:val="center"/>
              <w:rPr>
                <w:rFonts w:ascii="Calibri" w:eastAsia="Times New Roman" w:hAnsi="Calibri" w:cs="Calibri"/>
                <w:color w:val="000000"/>
                <w:kern w:val="0"/>
                <w:sz w:val="16"/>
                <w:szCs w:val="16"/>
                <w14:ligatures w14:val="none"/>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3176348C" w14:textId="77777777" w:rsidR="007E6DCB" w:rsidRPr="00E440BE" w:rsidRDefault="007E6DCB"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hAnsi="Calibri" w:cs="Calibri"/>
                <w:color w:val="000000"/>
                <w:sz w:val="16"/>
                <w:szCs w:val="16"/>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1ECAAB5D" w14:textId="77777777" w:rsidR="007E6DCB" w:rsidRPr="00E440BE" w:rsidRDefault="007E6DCB" w:rsidP="000250B5">
            <w:pPr>
              <w:spacing w:after="0" w:line="240" w:lineRule="auto"/>
              <w:jc w:val="center"/>
              <w:rPr>
                <w:rFonts w:ascii="Calibri" w:eastAsia="Times New Roman" w:hAnsi="Calibri" w:cs="Calibri"/>
                <w:color w:val="000000"/>
                <w:kern w:val="0"/>
                <w:sz w:val="16"/>
                <w:szCs w:val="16"/>
                <w14:ligatures w14:val="none"/>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601CD3B8" w14:textId="77777777" w:rsidR="007E6DCB" w:rsidRPr="00E440BE" w:rsidRDefault="007E6DCB"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hAnsi="Calibri" w:cs="Calibri"/>
                <w:color w:val="000000"/>
                <w:sz w:val="16"/>
                <w:szCs w:val="16"/>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4CF317E1" w14:textId="77777777" w:rsidR="007E6DCB" w:rsidRPr="00E440BE" w:rsidRDefault="007E6DCB" w:rsidP="000250B5">
            <w:pPr>
              <w:spacing w:after="0" w:line="240" w:lineRule="auto"/>
              <w:jc w:val="center"/>
              <w:rPr>
                <w:rFonts w:ascii="Calibri" w:eastAsia="Times New Roman" w:hAnsi="Calibri" w:cs="Calibri"/>
                <w:color w:val="000000"/>
                <w:kern w:val="0"/>
                <w:sz w:val="16"/>
                <w:szCs w:val="16"/>
                <w14:ligatures w14:val="none"/>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24E7EB01" w14:textId="77777777" w:rsidR="007E6DCB" w:rsidRPr="00E440BE" w:rsidRDefault="007E6DCB"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hAnsi="Calibri" w:cs="Calibri"/>
                <w:color w:val="000000"/>
                <w:sz w:val="16"/>
                <w:szCs w:val="16"/>
              </w:rPr>
              <w:t>$50,000</w:t>
            </w:r>
          </w:p>
        </w:tc>
        <w:tc>
          <w:tcPr>
            <w:tcW w:w="4173" w:type="dxa"/>
            <w:tcBorders>
              <w:top w:val="single" w:sz="4" w:space="0" w:color="auto"/>
              <w:left w:val="nil"/>
              <w:bottom w:val="single" w:sz="4" w:space="0" w:color="auto"/>
              <w:right w:val="single" w:sz="4" w:space="0" w:color="auto"/>
            </w:tcBorders>
            <w:shd w:val="clear" w:color="auto" w:fill="auto"/>
            <w:vAlign w:val="center"/>
          </w:tcPr>
          <w:p w14:paraId="702F5E27" w14:textId="77777777" w:rsidR="007E6DCB" w:rsidRPr="00E440BE" w:rsidRDefault="007E6DCB" w:rsidP="000250B5">
            <w:pPr>
              <w:spacing w:after="0" w:line="240" w:lineRule="auto"/>
              <w:jc w:val="both"/>
              <w:rPr>
                <w:rFonts w:ascii="Calibri" w:hAnsi="Calibri" w:cs="Calibri"/>
                <w:color w:val="000000"/>
                <w:sz w:val="16"/>
                <w:szCs w:val="16"/>
              </w:rPr>
            </w:pPr>
            <w:r w:rsidRPr="00E440BE">
              <w:rPr>
                <w:rFonts w:ascii="Calibri" w:hAnsi="Calibri" w:cs="Calibri"/>
                <w:color w:val="000000"/>
                <w:sz w:val="16"/>
                <w:szCs w:val="16"/>
              </w:rPr>
              <w:t>Expropiación forzosa. Cantera. El tribunal dictó sentencia final el 15 de junio de 2017. Únicamente falta completar la distribución de los fondos. La Administración no interviene en esa etapa. No obstante, el 10 de julio de 2018 sometimos nueva enmienda al Exhibit A porque había venido una correspondencia devuelta con la dirección corregida.</w:t>
            </w:r>
          </w:p>
          <w:p w14:paraId="643BE15F" w14:textId="77777777" w:rsidR="007E6DCB" w:rsidRPr="00E440BE" w:rsidRDefault="007E6DCB" w:rsidP="000250B5">
            <w:pPr>
              <w:spacing w:after="0" w:line="240" w:lineRule="auto"/>
              <w:jc w:val="both"/>
              <w:rPr>
                <w:rFonts w:ascii="Calibri" w:eastAsia="Times New Roman" w:hAnsi="Calibri" w:cs="Calibri"/>
                <w:color w:val="000000"/>
                <w:kern w:val="0"/>
                <w:sz w:val="16"/>
                <w:szCs w:val="16"/>
                <w14:ligatures w14:val="none"/>
              </w:rPr>
            </w:pPr>
          </w:p>
        </w:tc>
      </w:tr>
      <w:tr w:rsidR="007E6DCB" w:rsidRPr="003E2CFD" w14:paraId="09F7375F"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2A54C7" w14:textId="77777777" w:rsidR="007E6DCB" w:rsidRPr="00120D21" w:rsidRDefault="007E6DCB" w:rsidP="000250B5">
            <w:pPr>
              <w:spacing w:after="0" w:line="240" w:lineRule="auto"/>
              <w:jc w:val="center"/>
              <w:rPr>
                <w:rFonts w:ascii="Calibri" w:hAnsi="Calibri" w:cs="Calibri"/>
                <w:sz w:val="22"/>
                <w:szCs w:val="22"/>
                <w:lang w:val="en-US"/>
              </w:rPr>
            </w:pPr>
            <w:r w:rsidRPr="00120D21">
              <w:rPr>
                <w:rFonts w:ascii="Calibri" w:hAnsi="Calibri" w:cs="Calibri"/>
                <w:sz w:val="22"/>
                <w:szCs w:val="22"/>
                <w:lang w:val="en-US"/>
              </w:rPr>
              <w:t xml:space="preserve">AT v. </w:t>
            </w:r>
            <w:proofErr w:type="spellStart"/>
            <w:r w:rsidRPr="00120D21">
              <w:rPr>
                <w:rFonts w:ascii="Calibri" w:hAnsi="Calibri" w:cs="Calibri"/>
                <w:sz w:val="22"/>
                <w:szCs w:val="22"/>
                <w:lang w:val="en-US"/>
              </w:rPr>
              <w:t>Sucn</w:t>
            </w:r>
            <w:proofErr w:type="spellEnd"/>
            <w:r w:rsidRPr="00120D21">
              <w:rPr>
                <w:rFonts w:ascii="Calibri" w:hAnsi="Calibri" w:cs="Calibri"/>
                <w:sz w:val="22"/>
                <w:szCs w:val="22"/>
                <w:lang w:val="en-US"/>
              </w:rPr>
              <w:t>. Fernanda Reyes</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4A032CFC" w14:textId="77777777" w:rsidR="007E6DCB" w:rsidRPr="007A7B06" w:rsidRDefault="007E6DCB" w:rsidP="000250B5">
            <w:pPr>
              <w:spacing w:after="0" w:line="240" w:lineRule="auto"/>
              <w:jc w:val="center"/>
              <w:rPr>
                <w:rFonts w:ascii="Calibri" w:hAnsi="Calibri" w:cs="Calibri"/>
                <w:color w:val="000000"/>
                <w:sz w:val="22"/>
                <w:szCs w:val="22"/>
                <w:lang w:val="en-US"/>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76E19F74" w14:textId="77777777" w:rsidR="007E6DCB" w:rsidRDefault="007E6DCB" w:rsidP="000250B5">
            <w:pPr>
              <w:spacing w:after="0" w:line="240" w:lineRule="auto"/>
              <w:jc w:val="center"/>
              <w:rPr>
                <w:rFonts w:ascii="Calibri" w:hAnsi="Calibri" w:cs="Calibri"/>
                <w:color w:val="000000"/>
                <w:sz w:val="16"/>
                <w:szCs w:val="16"/>
              </w:rPr>
            </w:pPr>
            <w:r>
              <w:rPr>
                <w:rFonts w:ascii="Calibri" w:hAnsi="Calibri" w:cs="Calibri"/>
                <w:color w:val="000000"/>
                <w:sz w:val="16"/>
                <w:szCs w:val="16"/>
              </w:rPr>
              <w:t>K EF2013-0068</w:t>
            </w: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48AF1229" w14:textId="77777777" w:rsidR="007E6DCB" w:rsidRDefault="007E6DCB" w:rsidP="000250B5">
            <w:pPr>
              <w:spacing w:after="0" w:line="240" w:lineRule="auto"/>
              <w:jc w:val="center"/>
              <w:rPr>
                <w:rFonts w:ascii="Calibri" w:hAnsi="Calibri" w:cs="Calibri"/>
                <w:color w:val="000000"/>
                <w:sz w:val="22"/>
                <w:szCs w:val="22"/>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7F5893D2" w14:textId="77777777" w:rsidR="007E6DCB" w:rsidRDefault="007E6DCB"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42BD2D5" w14:textId="77777777" w:rsidR="007E6DCB" w:rsidRDefault="007E6DCB"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043EC4E" w14:textId="77777777" w:rsidR="007E6DCB" w:rsidRDefault="007E6DCB" w:rsidP="000250B5">
            <w:pPr>
              <w:spacing w:after="0" w:line="240" w:lineRule="auto"/>
              <w:jc w:val="center"/>
              <w:rPr>
                <w:rFonts w:ascii="Calibri" w:hAnsi="Calibri" w:cs="Calibri"/>
                <w:color w:val="000000"/>
                <w:sz w:val="22"/>
                <w:szCs w:val="22"/>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68CD2547" w14:textId="77777777" w:rsidR="007E6DCB" w:rsidRDefault="007E6DCB" w:rsidP="000250B5">
            <w:pPr>
              <w:spacing w:after="0" w:line="240" w:lineRule="auto"/>
              <w:jc w:val="center"/>
              <w:rPr>
                <w:rFonts w:ascii="Calibri" w:hAnsi="Calibri" w:cs="Calibri"/>
                <w:color w:val="000000"/>
                <w:sz w:val="22"/>
                <w:szCs w:val="22"/>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211C16CC" w14:textId="77777777" w:rsidR="007E6DCB" w:rsidRPr="00E440BE" w:rsidRDefault="007E6DCB" w:rsidP="000250B5">
            <w:pPr>
              <w:spacing w:after="0" w:line="240" w:lineRule="auto"/>
              <w:jc w:val="center"/>
              <w:rPr>
                <w:rFonts w:ascii="Calibri" w:hAnsi="Calibri" w:cs="Calibri"/>
                <w:color w:val="000000"/>
                <w:sz w:val="16"/>
                <w:szCs w:val="16"/>
              </w:rPr>
            </w:pPr>
            <w:r w:rsidRPr="00E440BE">
              <w:rPr>
                <w:rFonts w:ascii="Calibri" w:hAnsi="Calibri" w:cs="Calibri"/>
                <w:color w:val="000000"/>
                <w:sz w:val="16"/>
                <w:szCs w:val="16"/>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4DA34934" w14:textId="77777777" w:rsidR="007E6DCB" w:rsidRPr="00E440BE" w:rsidRDefault="007E6DCB"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hAnsi="Calibri" w:cs="Calibri"/>
                <w:color w:val="000000"/>
                <w:sz w:val="16"/>
                <w:szCs w:val="16"/>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0C3C3978" w14:textId="77777777" w:rsidR="007E6DCB" w:rsidRPr="00E440BE" w:rsidRDefault="007E6DCB" w:rsidP="000250B5">
            <w:pPr>
              <w:spacing w:after="0" w:line="240" w:lineRule="auto"/>
              <w:jc w:val="center"/>
              <w:rPr>
                <w:rFonts w:ascii="Calibri" w:hAnsi="Calibri" w:cs="Calibri"/>
                <w:color w:val="000000"/>
                <w:sz w:val="16"/>
                <w:szCs w:val="16"/>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7D756172" w14:textId="77777777" w:rsidR="007E6DCB" w:rsidRPr="00E440BE" w:rsidRDefault="007E6DCB" w:rsidP="000250B5">
            <w:pPr>
              <w:spacing w:after="0" w:line="240" w:lineRule="auto"/>
              <w:jc w:val="center"/>
              <w:rPr>
                <w:rFonts w:ascii="Calibri" w:hAnsi="Calibri" w:cs="Calibri"/>
                <w:color w:val="000000"/>
                <w:sz w:val="16"/>
                <w:szCs w:val="16"/>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1B283CBD" w14:textId="77777777" w:rsidR="007E6DCB" w:rsidRPr="00E440BE" w:rsidRDefault="007E6DCB" w:rsidP="000250B5">
            <w:pPr>
              <w:spacing w:after="0" w:line="240" w:lineRule="auto"/>
              <w:jc w:val="center"/>
              <w:rPr>
                <w:rFonts w:ascii="Calibri" w:hAnsi="Calibri" w:cs="Calibri"/>
                <w:color w:val="000000"/>
                <w:sz w:val="16"/>
                <w:szCs w:val="16"/>
              </w:rPr>
            </w:pPr>
            <w:r w:rsidRPr="00E440BE">
              <w:rPr>
                <w:rFonts w:ascii="Calibri" w:hAnsi="Calibri" w:cs="Calibri"/>
                <w:color w:val="000000"/>
                <w:sz w:val="16"/>
                <w:szCs w:val="16"/>
              </w:rPr>
              <w:t>$17,000</w:t>
            </w:r>
          </w:p>
        </w:tc>
        <w:tc>
          <w:tcPr>
            <w:tcW w:w="4173" w:type="dxa"/>
            <w:tcBorders>
              <w:top w:val="single" w:sz="4" w:space="0" w:color="auto"/>
              <w:left w:val="nil"/>
              <w:bottom w:val="single" w:sz="4" w:space="0" w:color="auto"/>
              <w:right w:val="single" w:sz="4" w:space="0" w:color="auto"/>
            </w:tcBorders>
            <w:shd w:val="clear" w:color="auto" w:fill="auto"/>
            <w:vAlign w:val="center"/>
          </w:tcPr>
          <w:p w14:paraId="71AEEEE8" w14:textId="77777777" w:rsidR="007E6DCB" w:rsidRPr="00E440BE" w:rsidRDefault="007E6DCB" w:rsidP="000250B5">
            <w:pPr>
              <w:spacing w:after="0" w:line="240" w:lineRule="auto"/>
              <w:jc w:val="both"/>
              <w:rPr>
                <w:rFonts w:ascii="Calibri" w:hAnsi="Calibri" w:cs="Calibri"/>
                <w:color w:val="000000"/>
                <w:sz w:val="16"/>
                <w:szCs w:val="16"/>
              </w:rPr>
            </w:pPr>
            <w:r w:rsidRPr="00E440BE">
              <w:rPr>
                <w:rFonts w:ascii="Calibri" w:hAnsi="Calibri" w:cs="Calibri"/>
                <w:color w:val="000000"/>
                <w:sz w:val="16"/>
                <w:szCs w:val="16"/>
              </w:rPr>
              <w:t xml:space="preserve">Expropiación forzosa. Cantera. De las partes con interés que constan señaladas en el Exhibit A según enmendado, únicamente falta por dictar sentencia parcial respecto a cinco de las partes con interés. Cuatro de ellas fueron apercibidas por el tribunal, por orden de 5 de agosto de 2018, de que tenían 20 días para comparecer o se señalaría vista en los méritos y se dictaría sentencia.  En cuanto a la quinta parte, ésta falleció y fue sustituida por su sucesión, cuyos miembros están todos consignados en el Exhibit "A" del caso.  Este caso tiene vista de edicto el 20 de abril de 2021. </w:t>
            </w:r>
          </w:p>
          <w:p w14:paraId="5F1028B9" w14:textId="77777777" w:rsidR="007E6DCB" w:rsidRPr="00E440BE" w:rsidRDefault="007E6DCB" w:rsidP="000250B5">
            <w:pPr>
              <w:spacing w:after="0" w:line="240" w:lineRule="auto"/>
              <w:jc w:val="both"/>
              <w:rPr>
                <w:rFonts w:ascii="Calibri" w:hAnsi="Calibri" w:cs="Calibri"/>
                <w:color w:val="000000"/>
                <w:sz w:val="16"/>
                <w:szCs w:val="16"/>
              </w:rPr>
            </w:pPr>
          </w:p>
        </w:tc>
      </w:tr>
      <w:tr w:rsidR="007E6DCB" w:rsidRPr="003E2CFD" w14:paraId="63D504B5"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13FC25" w14:textId="77777777" w:rsidR="007E6DCB" w:rsidRPr="00120D21" w:rsidRDefault="007E6DCB" w:rsidP="000250B5">
            <w:pPr>
              <w:spacing w:after="0" w:line="240" w:lineRule="auto"/>
              <w:jc w:val="center"/>
              <w:rPr>
                <w:rFonts w:ascii="Calibri" w:hAnsi="Calibri" w:cs="Calibri"/>
                <w:sz w:val="22"/>
                <w:szCs w:val="22"/>
              </w:rPr>
            </w:pPr>
            <w:r w:rsidRPr="00120D21">
              <w:rPr>
                <w:rFonts w:ascii="Calibri" w:hAnsi="Calibri" w:cs="Calibri"/>
                <w:sz w:val="22"/>
                <w:szCs w:val="22"/>
              </w:rPr>
              <w:lastRenderedPageBreak/>
              <w:t>AT v. Municipio de San Juan</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55BCFFF7" w14:textId="77777777" w:rsidR="007E6DCB" w:rsidRDefault="007E6DCB"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4EB48F8E" w14:textId="77777777" w:rsidR="007E6DCB" w:rsidRDefault="007E6DCB" w:rsidP="000250B5">
            <w:pPr>
              <w:spacing w:after="0" w:line="240" w:lineRule="auto"/>
              <w:jc w:val="center"/>
              <w:rPr>
                <w:rFonts w:ascii="Calibri" w:hAnsi="Calibri" w:cs="Calibri"/>
                <w:color w:val="000000"/>
                <w:sz w:val="16"/>
                <w:szCs w:val="16"/>
              </w:rPr>
            </w:pPr>
            <w:r>
              <w:rPr>
                <w:rFonts w:ascii="Calibri" w:hAnsi="Calibri" w:cs="Calibri"/>
                <w:color w:val="000000"/>
                <w:sz w:val="16"/>
                <w:szCs w:val="16"/>
              </w:rPr>
              <w:t>KEF2016-0067</w:t>
            </w: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7FF418D8" w14:textId="77777777" w:rsidR="007E6DCB" w:rsidRDefault="007E6DCB" w:rsidP="000250B5">
            <w:pPr>
              <w:spacing w:after="0" w:line="240" w:lineRule="auto"/>
              <w:jc w:val="center"/>
              <w:rPr>
                <w:rFonts w:ascii="Calibri" w:hAnsi="Calibri" w:cs="Calibri"/>
                <w:color w:val="000000"/>
                <w:sz w:val="22"/>
                <w:szCs w:val="22"/>
              </w:rPr>
            </w:pPr>
            <w:r>
              <w:rPr>
                <w:rFonts w:ascii="Calibri" w:hAnsi="Calibri" w:cs="Calibri"/>
                <w:color w:val="000000"/>
                <w:sz w:val="16"/>
                <w:szCs w:val="16"/>
              </w:rPr>
              <w:t>KLCE201700762</w:t>
            </w: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526A03A3" w14:textId="77777777" w:rsidR="007E6DCB" w:rsidRDefault="007E6DCB"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81A7714" w14:textId="77777777" w:rsidR="007E6DCB" w:rsidRDefault="007E6DCB"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A572590" w14:textId="77777777" w:rsidR="007E6DCB" w:rsidRDefault="007E6DCB" w:rsidP="000250B5">
            <w:pPr>
              <w:spacing w:after="0" w:line="240" w:lineRule="auto"/>
              <w:jc w:val="center"/>
              <w:rPr>
                <w:rFonts w:ascii="Calibri" w:hAnsi="Calibri" w:cs="Calibri"/>
                <w:color w:val="000000"/>
                <w:sz w:val="22"/>
                <w:szCs w:val="22"/>
              </w:rPr>
            </w:pPr>
            <w:r>
              <w:rPr>
                <w:rFonts w:ascii="Calibri" w:hAnsi="Calibri" w:cs="Calibri"/>
                <w:color w:val="000000"/>
                <w:sz w:val="16"/>
                <w:szCs w:val="16"/>
              </w:rPr>
              <w:t>KEF2016-0067</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3C48E359" w14:textId="77777777" w:rsidR="007E6DCB" w:rsidRDefault="007E6DCB" w:rsidP="000250B5">
            <w:pPr>
              <w:spacing w:after="0" w:line="240" w:lineRule="auto"/>
              <w:jc w:val="center"/>
              <w:rPr>
                <w:rFonts w:ascii="Calibri" w:hAnsi="Calibri" w:cs="Calibri"/>
                <w:color w:val="000000"/>
                <w:sz w:val="22"/>
                <w:szCs w:val="22"/>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5346A599" w14:textId="77777777" w:rsidR="007E6DCB" w:rsidRPr="00E440BE" w:rsidRDefault="007E6DCB" w:rsidP="000250B5">
            <w:pPr>
              <w:spacing w:after="0" w:line="240" w:lineRule="auto"/>
              <w:jc w:val="center"/>
              <w:rPr>
                <w:rFonts w:ascii="Calibri" w:hAnsi="Calibri" w:cs="Calibri"/>
                <w:color w:val="000000"/>
                <w:sz w:val="16"/>
                <w:szCs w:val="16"/>
              </w:rPr>
            </w:pPr>
            <w:r w:rsidRPr="00E440BE">
              <w:rPr>
                <w:rFonts w:ascii="Calibri" w:hAnsi="Calibri" w:cs="Calibri"/>
                <w:color w:val="000000"/>
                <w:sz w:val="16"/>
                <w:szCs w:val="16"/>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584BB75F" w14:textId="77777777" w:rsidR="007E6DCB" w:rsidRPr="00E440BE" w:rsidRDefault="007E6DCB"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hAnsi="Calibri" w:cs="Calibri"/>
                <w:color w:val="000000"/>
                <w:sz w:val="16"/>
                <w:szCs w:val="16"/>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6BC69AB7" w14:textId="77777777" w:rsidR="007E6DCB" w:rsidRPr="00E440BE" w:rsidRDefault="007E6DCB" w:rsidP="000250B5">
            <w:pPr>
              <w:spacing w:after="0" w:line="240" w:lineRule="auto"/>
              <w:jc w:val="center"/>
              <w:rPr>
                <w:rFonts w:ascii="Calibri" w:hAnsi="Calibri" w:cs="Calibri"/>
                <w:color w:val="000000"/>
                <w:sz w:val="16"/>
                <w:szCs w:val="16"/>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3D2A4B34" w14:textId="77777777" w:rsidR="007E6DCB" w:rsidRPr="00E440BE" w:rsidRDefault="007E6DCB" w:rsidP="000250B5">
            <w:pPr>
              <w:spacing w:after="0" w:line="240" w:lineRule="auto"/>
              <w:jc w:val="center"/>
              <w:rPr>
                <w:rFonts w:ascii="Calibri" w:hAnsi="Calibri" w:cs="Calibri"/>
                <w:color w:val="000000"/>
                <w:sz w:val="16"/>
                <w:szCs w:val="16"/>
              </w:rPr>
            </w:pPr>
            <w:r w:rsidRPr="00E440BE">
              <w:rPr>
                <w:rFonts w:ascii="Calibri" w:hAnsi="Calibri" w:cs="Calibri"/>
                <w:color w:val="000000"/>
                <w:sz w:val="16"/>
                <w:szCs w:val="16"/>
              </w:rPr>
              <w:t>x</w:t>
            </w: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1A93D2F3" w14:textId="77777777" w:rsidR="007E6DCB" w:rsidRPr="00E440BE" w:rsidRDefault="007E6DCB" w:rsidP="000250B5">
            <w:pPr>
              <w:spacing w:after="0" w:line="240" w:lineRule="auto"/>
              <w:jc w:val="center"/>
              <w:rPr>
                <w:rFonts w:ascii="Calibri" w:hAnsi="Calibri" w:cs="Calibri"/>
                <w:color w:val="000000"/>
                <w:sz w:val="16"/>
                <w:szCs w:val="16"/>
              </w:rPr>
            </w:pPr>
            <w:r w:rsidRPr="00E440BE">
              <w:rPr>
                <w:rFonts w:ascii="Calibri" w:hAnsi="Calibri" w:cs="Calibri"/>
                <w:color w:val="000000"/>
                <w:sz w:val="16"/>
                <w:szCs w:val="16"/>
              </w:rPr>
              <w:t>$131,000.00</w:t>
            </w:r>
          </w:p>
        </w:tc>
        <w:tc>
          <w:tcPr>
            <w:tcW w:w="4173" w:type="dxa"/>
            <w:tcBorders>
              <w:top w:val="single" w:sz="4" w:space="0" w:color="auto"/>
              <w:left w:val="nil"/>
              <w:bottom w:val="single" w:sz="4" w:space="0" w:color="auto"/>
              <w:right w:val="single" w:sz="4" w:space="0" w:color="auto"/>
            </w:tcBorders>
            <w:shd w:val="clear" w:color="auto" w:fill="auto"/>
            <w:vAlign w:val="center"/>
          </w:tcPr>
          <w:p w14:paraId="34106B93" w14:textId="77777777" w:rsidR="007E6DCB" w:rsidRDefault="007E6DCB" w:rsidP="000250B5">
            <w:pPr>
              <w:spacing w:after="0" w:line="240" w:lineRule="auto"/>
              <w:jc w:val="both"/>
              <w:rPr>
                <w:rFonts w:ascii="Calibri" w:hAnsi="Calibri" w:cs="Calibri"/>
                <w:color w:val="000000"/>
                <w:sz w:val="16"/>
                <w:szCs w:val="16"/>
              </w:rPr>
            </w:pPr>
            <w:r w:rsidRPr="00E440BE">
              <w:rPr>
                <w:rFonts w:ascii="Calibri" w:hAnsi="Calibri" w:cs="Calibri"/>
                <w:color w:val="000000"/>
                <w:sz w:val="16"/>
                <w:szCs w:val="16"/>
              </w:rPr>
              <w:t xml:space="preserve">Expropiación forzosa </w:t>
            </w:r>
            <w:r w:rsidR="005C4726">
              <w:rPr>
                <w:rFonts w:ascii="Calibri" w:hAnsi="Calibri" w:cs="Calibri"/>
                <w:color w:val="000000"/>
                <w:sz w:val="16"/>
                <w:szCs w:val="16"/>
              </w:rPr>
              <w:t xml:space="preserve">del </w:t>
            </w:r>
            <w:r w:rsidRPr="00E440BE">
              <w:rPr>
                <w:rFonts w:ascii="Calibri" w:hAnsi="Calibri" w:cs="Calibri"/>
                <w:color w:val="000000"/>
                <w:sz w:val="16"/>
                <w:szCs w:val="16"/>
              </w:rPr>
              <w:t xml:space="preserve">Paseo de los Enamorados Puerta de Tierra. El Municipio cuestionó el fin público de la expropiación, cuestionamiento que fue denegado por el TPI, y confirmado por el Tribunal de Apelaciones, en resoluciones de 1 de junio y 9 de agosto de 2017 (en reconsideración).  El Municipio entregó su informe pericial el 31 de julio de 2018. En una vista celebrada el 30 de agosto de 2018, las partes acordaron un período de 60 días para negociar, vencederos el 30 de octubre de 2018. El caso se transigió mediante estipulación transaccional.  Tiene sentencia dictada con fecha de 12 de diciembre de 2019.  </w:t>
            </w:r>
            <w:r w:rsidR="00F13E8E">
              <w:rPr>
                <w:rFonts w:ascii="Calibri" w:hAnsi="Calibri" w:cs="Calibri"/>
                <w:color w:val="000000"/>
                <w:sz w:val="16"/>
                <w:szCs w:val="16"/>
              </w:rPr>
              <w:t>Queda pendiente completar los acuerdos según estipulación transaccional.</w:t>
            </w:r>
          </w:p>
          <w:p w14:paraId="74FBC230" w14:textId="77777777" w:rsidR="00F13E8E" w:rsidRPr="00E440BE" w:rsidRDefault="00F13E8E" w:rsidP="000250B5">
            <w:pPr>
              <w:spacing w:after="0" w:line="240" w:lineRule="auto"/>
              <w:jc w:val="both"/>
              <w:rPr>
                <w:rFonts w:ascii="Calibri" w:hAnsi="Calibri" w:cs="Calibri"/>
                <w:color w:val="000000"/>
                <w:sz w:val="16"/>
                <w:szCs w:val="16"/>
              </w:rPr>
            </w:pPr>
          </w:p>
          <w:p w14:paraId="795598D4" w14:textId="77777777" w:rsidR="007E6DCB" w:rsidRPr="00E440BE" w:rsidRDefault="007E6DCB" w:rsidP="000250B5">
            <w:pPr>
              <w:spacing w:after="0" w:line="240" w:lineRule="auto"/>
              <w:jc w:val="both"/>
              <w:rPr>
                <w:rFonts w:ascii="Calibri" w:hAnsi="Calibri" w:cs="Calibri"/>
                <w:color w:val="000000"/>
                <w:sz w:val="16"/>
                <w:szCs w:val="16"/>
              </w:rPr>
            </w:pPr>
          </w:p>
        </w:tc>
      </w:tr>
      <w:tr w:rsidR="007E6DCB" w:rsidRPr="003E2CFD" w14:paraId="71F3EA01"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229228" w14:textId="77777777" w:rsidR="007E6DCB" w:rsidRPr="00120D21" w:rsidRDefault="007E6DCB" w:rsidP="000250B5">
            <w:pPr>
              <w:spacing w:after="0" w:line="240" w:lineRule="auto"/>
              <w:jc w:val="center"/>
              <w:rPr>
                <w:rFonts w:ascii="Calibri" w:hAnsi="Calibri" w:cs="Calibri"/>
                <w:sz w:val="22"/>
                <w:szCs w:val="22"/>
              </w:rPr>
            </w:pPr>
            <w:r w:rsidRPr="00120D21">
              <w:rPr>
                <w:rFonts w:ascii="Calibri" w:hAnsi="Calibri" w:cs="Calibri"/>
                <w:sz w:val="22"/>
                <w:szCs w:val="22"/>
              </w:rPr>
              <w:t>AT v. Ángel Rivera Morales</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0F4DF2C8" w14:textId="77777777" w:rsidR="007E6DCB" w:rsidRDefault="007E6DCB"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3C67ABDD" w14:textId="77777777" w:rsidR="007E6DCB" w:rsidRDefault="007E6DCB" w:rsidP="000250B5">
            <w:pPr>
              <w:spacing w:after="0" w:line="240" w:lineRule="auto"/>
              <w:jc w:val="center"/>
              <w:rPr>
                <w:rFonts w:ascii="Calibri" w:hAnsi="Calibri" w:cs="Calibri"/>
                <w:color w:val="000000"/>
                <w:sz w:val="16"/>
                <w:szCs w:val="16"/>
              </w:rPr>
            </w:pPr>
            <w:r>
              <w:rPr>
                <w:rFonts w:ascii="Calibri" w:hAnsi="Calibri" w:cs="Calibri"/>
                <w:color w:val="000000"/>
                <w:sz w:val="16"/>
                <w:szCs w:val="16"/>
              </w:rPr>
              <w:t>NAC1998-0011</w:t>
            </w: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70390284" w14:textId="77777777" w:rsidR="007E6DCB" w:rsidRDefault="007E6DCB" w:rsidP="000250B5">
            <w:pPr>
              <w:spacing w:after="0" w:line="240" w:lineRule="auto"/>
              <w:jc w:val="center"/>
              <w:rPr>
                <w:rFonts w:ascii="Calibri" w:hAnsi="Calibri" w:cs="Calibri"/>
                <w:color w:val="000000"/>
                <w:sz w:val="22"/>
                <w:szCs w:val="22"/>
              </w:rPr>
            </w:pPr>
            <w:r>
              <w:rPr>
                <w:rFonts w:ascii="Calibri" w:hAnsi="Calibri" w:cs="Calibri"/>
                <w:color w:val="000000"/>
                <w:sz w:val="16"/>
                <w:szCs w:val="16"/>
              </w:rPr>
              <w:t>KLAN2010000282</w:t>
            </w: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56227BDC" w14:textId="77777777" w:rsidR="007E6DCB" w:rsidRDefault="007E6DCB" w:rsidP="000250B5">
            <w:pPr>
              <w:spacing w:after="0" w:line="240" w:lineRule="auto"/>
              <w:jc w:val="center"/>
              <w:rPr>
                <w:rFonts w:ascii="Calibri" w:hAnsi="Calibri" w:cs="Calibri"/>
                <w:color w:val="000000"/>
                <w:sz w:val="22"/>
                <w:szCs w:val="22"/>
              </w:rPr>
            </w:pPr>
            <w:r>
              <w:rPr>
                <w:rFonts w:ascii="Calibri" w:hAnsi="Calibri" w:cs="Calibri"/>
                <w:color w:val="000000"/>
                <w:sz w:val="16"/>
                <w:szCs w:val="16"/>
              </w:rPr>
              <w:t>CC 2011-0339</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3F69525" w14:textId="77777777" w:rsidR="007E6DCB" w:rsidRDefault="007E6DCB"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5C46756" w14:textId="77777777" w:rsidR="007E6DCB" w:rsidRDefault="007E6DCB" w:rsidP="000250B5">
            <w:pPr>
              <w:spacing w:after="0" w:line="240" w:lineRule="auto"/>
              <w:jc w:val="center"/>
              <w:rPr>
                <w:rFonts w:ascii="Calibri" w:hAnsi="Calibri" w:cs="Calibri"/>
                <w:color w:val="000000"/>
                <w:sz w:val="22"/>
                <w:szCs w:val="22"/>
              </w:rPr>
            </w:pPr>
            <w:r>
              <w:rPr>
                <w:rFonts w:ascii="Calibri" w:hAnsi="Calibri" w:cs="Calibri"/>
                <w:color w:val="000000"/>
                <w:sz w:val="16"/>
                <w:szCs w:val="16"/>
              </w:rPr>
              <w:t>NAC1998-0011</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7ABD1F3D" w14:textId="77777777" w:rsidR="007E6DCB" w:rsidRDefault="007E6DCB" w:rsidP="000250B5">
            <w:pPr>
              <w:spacing w:after="0" w:line="240" w:lineRule="auto"/>
              <w:jc w:val="center"/>
              <w:rPr>
                <w:rFonts w:ascii="Calibri" w:hAnsi="Calibri" w:cs="Calibri"/>
                <w:color w:val="000000"/>
                <w:sz w:val="22"/>
                <w:szCs w:val="22"/>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44644E90" w14:textId="77777777" w:rsidR="007E6DCB" w:rsidRPr="00E440BE" w:rsidRDefault="007E6DCB" w:rsidP="000250B5">
            <w:pPr>
              <w:spacing w:after="0" w:line="240" w:lineRule="auto"/>
              <w:jc w:val="center"/>
              <w:rPr>
                <w:rFonts w:ascii="Calibri" w:hAnsi="Calibri" w:cs="Calibri"/>
                <w:color w:val="000000"/>
                <w:sz w:val="16"/>
                <w:szCs w:val="16"/>
              </w:rPr>
            </w:pPr>
            <w:r w:rsidRPr="00E440BE">
              <w:rPr>
                <w:rFonts w:ascii="Calibri" w:hAnsi="Calibri" w:cs="Calibri"/>
                <w:color w:val="000000"/>
                <w:sz w:val="16"/>
                <w:szCs w:val="16"/>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5726B743" w14:textId="77777777" w:rsidR="007E6DCB" w:rsidRPr="00E440BE" w:rsidRDefault="007E6DCB"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hAnsi="Calibri" w:cs="Calibri"/>
                <w:color w:val="000000"/>
                <w:sz w:val="16"/>
                <w:szCs w:val="16"/>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03517416" w14:textId="77777777" w:rsidR="007E6DCB" w:rsidRPr="00E440BE" w:rsidRDefault="007E6DCB" w:rsidP="000250B5">
            <w:pPr>
              <w:spacing w:after="0" w:line="240" w:lineRule="auto"/>
              <w:jc w:val="center"/>
              <w:rPr>
                <w:rFonts w:ascii="Calibri" w:hAnsi="Calibri" w:cs="Calibri"/>
                <w:color w:val="000000"/>
                <w:sz w:val="16"/>
                <w:szCs w:val="16"/>
              </w:rPr>
            </w:pPr>
            <w:r w:rsidRPr="00E440BE">
              <w:rPr>
                <w:rFonts w:ascii="Calibri" w:hAnsi="Calibri" w:cs="Calibri"/>
                <w:color w:val="000000"/>
                <w:sz w:val="16"/>
                <w:szCs w:val="16"/>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66DF354C" w14:textId="77777777" w:rsidR="007E6DCB" w:rsidRPr="00E440BE" w:rsidRDefault="007E6DCB" w:rsidP="000250B5">
            <w:pPr>
              <w:spacing w:after="0" w:line="240" w:lineRule="auto"/>
              <w:jc w:val="center"/>
              <w:rPr>
                <w:rFonts w:ascii="Calibri" w:hAnsi="Calibri" w:cs="Calibri"/>
                <w:color w:val="000000"/>
                <w:sz w:val="16"/>
                <w:szCs w:val="16"/>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1C0CA57E" w14:textId="77777777" w:rsidR="007E6DCB" w:rsidRPr="00E440BE" w:rsidRDefault="007E6DCB" w:rsidP="000250B5">
            <w:pPr>
              <w:spacing w:after="0" w:line="240" w:lineRule="auto"/>
              <w:jc w:val="center"/>
              <w:rPr>
                <w:rFonts w:ascii="Calibri" w:hAnsi="Calibri" w:cs="Calibri"/>
                <w:color w:val="000000"/>
                <w:sz w:val="16"/>
                <w:szCs w:val="16"/>
              </w:rPr>
            </w:pPr>
            <w:r w:rsidRPr="00E440BE">
              <w:rPr>
                <w:rFonts w:ascii="Calibri" w:hAnsi="Calibri" w:cs="Calibri"/>
                <w:color w:val="000000"/>
                <w:sz w:val="16"/>
                <w:szCs w:val="16"/>
              </w:rPr>
              <w:t>N/A</w:t>
            </w:r>
          </w:p>
        </w:tc>
        <w:tc>
          <w:tcPr>
            <w:tcW w:w="4173" w:type="dxa"/>
            <w:tcBorders>
              <w:top w:val="single" w:sz="4" w:space="0" w:color="auto"/>
              <w:left w:val="nil"/>
              <w:bottom w:val="single" w:sz="4" w:space="0" w:color="auto"/>
              <w:right w:val="single" w:sz="4" w:space="0" w:color="auto"/>
            </w:tcBorders>
            <w:shd w:val="clear" w:color="auto" w:fill="auto"/>
            <w:vAlign w:val="center"/>
          </w:tcPr>
          <w:p w14:paraId="2C358713" w14:textId="77777777" w:rsidR="007E6DCB" w:rsidRDefault="007E6DCB" w:rsidP="000250B5">
            <w:pPr>
              <w:spacing w:after="0" w:line="240" w:lineRule="auto"/>
              <w:jc w:val="both"/>
              <w:rPr>
                <w:rFonts w:ascii="Calibri" w:hAnsi="Calibri" w:cs="Calibri"/>
                <w:color w:val="000000"/>
                <w:sz w:val="16"/>
                <w:szCs w:val="16"/>
              </w:rPr>
            </w:pPr>
            <w:r w:rsidRPr="00E440BE">
              <w:rPr>
                <w:rFonts w:ascii="Calibri" w:hAnsi="Calibri" w:cs="Calibri"/>
                <w:color w:val="000000"/>
                <w:sz w:val="16"/>
                <w:szCs w:val="16"/>
              </w:rPr>
              <w:t>Este caso tiene sentencia final dictada por el Tribunal de Primera Instancia (TPI) el 28 de diciembre de 2009, confirmada por el Tribunal de Apelaciones (caso KLAN2010000282) y por el Tribunal Supremo el 22 de octubre de 2012 (caso CC 2011-0339).  Originalmente un caso de desahucio, el ocupante prevaleció por haberse consumado la usucapión con anterioridad al 1950, de acuerdo con el TPI.  El 12 de abril de 2017, el TPI dictó orden de ejecución de sentencia, ordenando a la Administración segregar y otorgar las escrituras para el traspaso de dos parcelas en Vieques.  Como la orden de ejecución no había sido notificada a la Administración, solicitamos nueva notificación, con miras a cuestionar la cabida expresada en la orden con respecto a una de las parcelas, cuya cabida y configuración no surgen ni de la sentencia ni del expediente. Notificada nuevamente la orden el 12 de septiembre de 2017, solicitamos reconsideración. En respuesta a una Contestación a Solicitud de Reconsideración presentada por la parte demandada, el TPI celebró una vista el 1ro de mayo de 2018, donde escuchó los argumentos de ambas partes. La controversia quedó sometida para la determinación del tribunal.</w:t>
            </w:r>
            <w:r w:rsidR="00F13E8E">
              <w:rPr>
                <w:rFonts w:ascii="Calibri" w:hAnsi="Calibri" w:cs="Calibri"/>
                <w:color w:val="000000"/>
                <w:sz w:val="16"/>
                <w:szCs w:val="16"/>
              </w:rPr>
              <w:t xml:space="preserve"> </w:t>
            </w:r>
          </w:p>
          <w:p w14:paraId="1C8BB580" w14:textId="77777777" w:rsidR="00F13E8E" w:rsidRDefault="00F13E8E" w:rsidP="000250B5">
            <w:pPr>
              <w:spacing w:after="0" w:line="240" w:lineRule="auto"/>
              <w:jc w:val="both"/>
              <w:rPr>
                <w:rFonts w:ascii="Calibri" w:hAnsi="Calibri" w:cs="Calibri"/>
                <w:color w:val="000000"/>
                <w:sz w:val="16"/>
                <w:szCs w:val="16"/>
              </w:rPr>
            </w:pPr>
          </w:p>
          <w:p w14:paraId="36BEC1EC" w14:textId="77777777" w:rsidR="00F13E8E" w:rsidRDefault="00F13E8E" w:rsidP="000250B5">
            <w:pPr>
              <w:spacing w:after="0" w:line="240" w:lineRule="auto"/>
              <w:jc w:val="both"/>
              <w:rPr>
                <w:rFonts w:ascii="Calibri" w:hAnsi="Calibri" w:cs="Calibri"/>
                <w:color w:val="000000"/>
                <w:sz w:val="16"/>
                <w:szCs w:val="16"/>
              </w:rPr>
            </w:pPr>
            <w:r>
              <w:rPr>
                <w:rFonts w:ascii="Calibri" w:hAnsi="Calibri" w:cs="Calibri"/>
                <w:color w:val="000000"/>
                <w:sz w:val="16"/>
                <w:szCs w:val="16"/>
              </w:rPr>
              <w:t xml:space="preserve">Mediante Estipulación Transaccional y Sentencia las partes acordaron los predios de terrenos a ser traspasados a Rivera </w:t>
            </w:r>
            <w:r>
              <w:rPr>
                <w:rFonts w:ascii="Calibri" w:hAnsi="Calibri" w:cs="Calibri"/>
                <w:color w:val="000000"/>
                <w:sz w:val="16"/>
                <w:szCs w:val="16"/>
              </w:rPr>
              <w:lastRenderedPageBreak/>
              <w:t>Morales, quedando actualmente pendiente</w:t>
            </w:r>
            <w:r w:rsidR="00014FA7">
              <w:rPr>
                <w:rFonts w:ascii="Calibri" w:hAnsi="Calibri" w:cs="Calibri"/>
                <w:color w:val="000000"/>
                <w:sz w:val="16"/>
                <w:szCs w:val="16"/>
              </w:rPr>
              <w:t xml:space="preserve"> completar la segregación y traspaso de los mismos. </w:t>
            </w:r>
            <w:r>
              <w:rPr>
                <w:rFonts w:ascii="Calibri" w:hAnsi="Calibri" w:cs="Calibri"/>
                <w:color w:val="000000"/>
                <w:sz w:val="16"/>
                <w:szCs w:val="16"/>
              </w:rPr>
              <w:t xml:space="preserve">  </w:t>
            </w:r>
          </w:p>
          <w:p w14:paraId="4F224D14" w14:textId="77777777" w:rsidR="005C4726" w:rsidRPr="00E440BE" w:rsidRDefault="005C4726" w:rsidP="000250B5">
            <w:pPr>
              <w:spacing w:after="0" w:line="240" w:lineRule="auto"/>
              <w:jc w:val="both"/>
              <w:rPr>
                <w:rFonts w:ascii="Calibri" w:hAnsi="Calibri" w:cs="Calibri"/>
                <w:color w:val="000000"/>
                <w:sz w:val="16"/>
                <w:szCs w:val="16"/>
              </w:rPr>
            </w:pPr>
          </w:p>
        </w:tc>
      </w:tr>
      <w:tr w:rsidR="00C51523" w:rsidRPr="003E2CFD" w14:paraId="42233079"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651E3A" w14:textId="77777777" w:rsidR="00C51523" w:rsidRPr="007A7B06" w:rsidRDefault="00C51523" w:rsidP="000250B5">
            <w:pPr>
              <w:spacing w:after="0" w:line="240" w:lineRule="auto"/>
              <w:jc w:val="center"/>
              <w:rPr>
                <w:rFonts w:ascii="Calibri" w:hAnsi="Calibri" w:cs="Calibri"/>
                <w:color w:val="000000"/>
                <w:sz w:val="22"/>
                <w:szCs w:val="22"/>
                <w:lang w:val="pt-PT"/>
              </w:rPr>
            </w:pPr>
            <w:r w:rsidRPr="007A7B06">
              <w:rPr>
                <w:rFonts w:ascii="Calibri" w:hAnsi="Calibri" w:cs="Calibri"/>
                <w:color w:val="000000"/>
                <w:sz w:val="22"/>
                <w:szCs w:val="22"/>
                <w:lang w:val="pt-PT"/>
              </w:rPr>
              <w:lastRenderedPageBreak/>
              <w:t>Olga Gisela Burgos v. AT</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03456646" w14:textId="77777777" w:rsidR="00C51523" w:rsidRPr="007A7B06" w:rsidRDefault="00C51523" w:rsidP="000250B5">
            <w:pPr>
              <w:spacing w:after="0" w:line="240" w:lineRule="auto"/>
              <w:jc w:val="center"/>
              <w:rPr>
                <w:rFonts w:ascii="Calibri" w:hAnsi="Calibri" w:cs="Calibri"/>
                <w:color w:val="000000"/>
                <w:sz w:val="22"/>
                <w:szCs w:val="22"/>
                <w:lang w:val="pt-PT"/>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18713EAF" w14:textId="77777777" w:rsidR="00C51523" w:rsidRDefault="00C51523" w:rsidP="000250B5">
            <w:pPr>
              <w:spacing w:after="0" w:line="240" w:lineRule="auto"/>
              <w:jc w:val="center"/>
              <w:rPr>
                <w:rFonts w:ascii="Calibri" w:hAnsi="Calibri" w:cs="Calibri"/>
                <w:color w:val="000000"/>
                <w:sz w:val="16"/>
                <w:szCs w:val="16"/>
              </w:rPr>
            </w:pPr>
            <w:r>
              <w:rPr>
                <w:rFonts w:ascii="Calibri" w:hAnsi="Calibri" w:cs="Calibri"/>
                <w:color w:val="000000"/>
                <w:sz w:val="16"/>
                <w:szCs w:val="16"/>
              </w:rPr>
              <w:t>K DP2013-1156</w:t>
            </w: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4B7E7C58" w14:textId="77777777" w:rsidR="00C51523" w:rsidRDefault="00C51523" w:rsidP="000250B5">
            <w:pPr>
              <w:spacing w:after="0" w:line="240" w:lineRule="auto"/>
              <w:jc w:val="center"/>
              <w:rPr>
                <w:rFonts w:ascii="Calibri" w:hAnsi="Calibri" w:cs="Calibri"/>
                <w:color w:val="000000"/>
                <w:sz w:val="22"/>
                <w:szCs w:val="22"/>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4E75125C" w14:textId="77777777" w:rsidR="00C51523" w:rsidRDefault="00C51523"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C4E3DD1" w14:textId="77777777" w:rsidR="00C51523" w:rsidRDefault="00C51523"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0A6786E" w14:textId="77777777" w:rsidR="00C51523" w:rsidRDefault="00C51523" w:rsidP="000250B5">
            <w:pPr>
              <w:spacing w:after="0" w:line="240" w:lineRule="auto"/>
              <w:jc w:val="center"/>
              <w:rPr>
                <w:rFonts w:ascii="Calibri" w:hAnsi="Calibri" w:cs="Calibri"/>
                <w:color w:val="000000"/>
                <w:sz w:val="22"/>
                <w:szCs w:val="22"/>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6D66F763" w14:textId="77777777" w:rsidR="00C51523" w:rsidRDefault="00C51523" w:rsidP="000250B5">
            <w:pPr>
              <w:spacing w:after="0" w:line="240" w:lineRule="auto"/>
              <w:jc w:val="center"/>
              <w:rPr>
                <w:rFonts w:ascii="Calibri" w:hAnsi="Calibri" w:cs="Calibri"/>
                <w:color w:val="000000"/>
                <w:sz w:val="22"/>
                <w:szCs w:val="22"/>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222D9298" w14:textId="77777777" w:rsidR="00C51523" w:rsidRPr="00E440BE" w:rsidRDefault="00C51523" w:rsidP="000250B5">
            <w:pPr>
              <w:spacing w:after="0" w:line="240" w:lineRule="auto"/>
              <w:jc w:val="center"/>
              <w:rPr>
                <w:rFonts w:ascii="Calibri" w:hAnsi="Calibri" w:cs="Calibri"/>
                <w:color w:val="000000"/>
                <w:sz w:val="16"/>
                <w:szCs w:val="16"/>
              </w:rPr>
            </w:pPr>
            <w:r w:rsidRPr="00E440BE">
              <w:rPr>
                <w:rFonts w:ascii="Calibri" w:hAnsi="Calibri" w:cs="Calibri"/>
                <w:color w:val="000000"/>
                <w:sz w:val="16"/>
                <w:szCs w:val="16"/>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495D8DD6" w14:textId="77777777" w:rsidR="00C51523" w:rsidRPr="00E440BE" w:rsidRDefault="00C51523" w:rsidP="000250B5">
            <w:pPr>
              <w:spacing w:after="0" w:line="240" w:lineRule="auto"/>
              <w:jc w:val="center"/>
              <w:rPr>
                <w:rFonts w:ascii="Calibri" w:eastAsia="Times New Roman" w:hAnsi="Calibri" w:cs="Calibri"/>
                <w:color w:val="000000"/>
                <w:kern w:val="0"/>
                <w:sz w:val="16"/>
                <w:szCs w:val="16"/>
                <w14:ligatures w14:val="none"/>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2517228F" w14:textId="77777777" w:rsidR="00C51523" w:rsidRPr="00E440BE" w:rsidRDefault="00C51523" w:rsidP="000250B5">
            <w:pPr>
              <w:spacing w:after="0" w:line="240" w:lineRule="auto"/>
              <w:jc w:val="center"/>
              <w:rPr>
                <w:rFonts w:ascii="Calibri" w:hAnsi="Calibri" w:cs="Calibri"/>
                <w:color w:val="000000"/>
                <w:sz w:val="16"/>
                <w:szCs w:val="16"/>
              </w:rPr>
            </w:pPr>
            <w:r w:rsidRPr="00E440BE">
              <w:rPr>
                <w:rFonts w:ascii="Calibri" w:hAnsi="Calibri" w:cs="Calibri"/>
                <w:color w:val="000000"/>
                <w:sz w:val="16"/>
                <w:szCs w:val="16"/>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03959D4C" w14:textId="77777777" w:rsidR="00C51523" w:rsidRPr="00E440BE" w:rsidRDefault="00C51523" w:rsidP="000250B5">
            <w:pPr>
              <w:spacing w:after="0" w:line="240" w:lineRule="auto"/>
              <w:jc w:val="center"/>
              <w:rPr>
                <w:rFonts w:ascii="Calibri" w:hAnsi="Calibri" w:cs="Calibri"/>
                <w:color w:val="000000"/>
                <w:sz w:val="16"/>
                <w:szCs w:val="16"/>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1DC01BD1" w14:textId="77777777" w:rsidR="00C51523" w:rsidRPr="00E440BE" w:rsidRDefault="00C51523" w:rsidP="000250B5">
            <w:pPr>
              <w:spacing w:after="0" w:line="240" w:lineRule="auto"/>
              <w:jc w:val="center"/>
              <w:rPr>
                <w:rFonts w:ascii="Calibri" w:hAnsi="Calibri" w:cs="Calibri"/>
                <w:color w:val="000000"/>
                <w:sz w:val="16"/>
                <w:szCs w:val="16"/>
              </w:rPr>
            </w:pPr>
            <w:r w:rsidRPr="00E440BE">
              <w:rPr>
                <w:rFonts w:ascii="Calibri" w:hAnsi="Calibri" w:cs="Calibri"/>
                <w:color w:val="000000"/>
                <w:sz w:val="16"/>
                <w:szCs w:val="16"/>
              </w:rPr>
              <w:t>$80,000</w:t>
            </w:r>
          </w:p>
        </w:tc>
        <w:tc>
          <w:tcPr>
            <w:tcW w:w="4173" w:type="dxa"/>
            <w:tcBorders>
              <w:top w:val="single" w:sz="4" w:space="0" w:color="auto"/>
              <w:left w:val="nil"/>
              <w:bottom w:val="single" w:sz="4" w:space="0" w:color="auto"/>
              <w:right w:val="single" w:sz="4" w:space="0" w:color="auto"/>
            </w:tcBorders>
            <w:shd w:val="clear" w:color="auto" w:fill="auto"/>
            <w:vAlign w:val="center"/>
          </w:tcPr>
          <w:p w14:paraId="6DF7E508" w14:textId="77777777" w:rsidR="00C51523" w:rsidRPr="00E440BE" w:rsidRDefault="00C51523" w:rsidP="000250B5">
            <w:pPr>
              <w:spacing w:after="0" w:line="240" w:lineRule="auto"/>
              <w:jc w:val="both"/>
              <w:rPr>
                <w:rFonts w:ascii="Calibri" w:hAnsi="Calibri" w:cs="Calibri"/>
                <w:color w:val="000000"/>
                <w:sz w:val="16"/>
                <w:szCs w:val="16"/>
              </w:rPr>
            </w:pPr>
            <w:r w:rsidRPr="00E440BE">
              <w:rPr>
                <w:rFonts w:ascii="Calibri" w:hAnsi="Calibri" w:cs="Calibri"/>
                <w:color w:val="000000"/>
                <w:sz w:val="16"/>
                <w:szCs w:val="16"/>
              </w:rPr>
              <w:t xml:space="preserve">Daños y Perjuicios (Accidente en Propiedad de la AT). El caso fue referido a la Aseguradora. Tiene Sentencia con fecha de 11 de marzo de 2018. </w:t>
            </w:r>
          </w:p>
          <w:p w14:paraId="5A1A6861" w14:textId="77777777" w:rsidR="00C51523" w:rsidRPr="00E440BE" w:rsidRDefault="00C51523" w:rsidP="000250B5">
            <w:pPr>
              <w:spacing w:after="0" w:line="240" w:lineRule="auto"/>
              <w:jc w:val="both"/>
              <w:rPr>
                <w:rFonts w:ascii="Calibri" w:hAnsi="Calibri" w:cs="Calibri"/>
                <w:color w:val="000000"/>
                <w:sz w:val="16"/>
                <w:szCs w:val="16"/>
              </w:rPr>
            </w:pPr>
          </w:p>
        </w:tc>
      </w:tr>
      <w:tr w:rsidR="0061487F" w:rsidRPr="003E2CFD" w14:paraId="6E074B5D"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0766A0" w14:textId="77777777" w:rsidR="0061487F" w:rsidRPr="007A7B06" w:rsidRDefault="0061487F" w:rsidP="000250B5">
            <w:pPr>
              <w:spacing w:after="0" w:line="240" w:lineRule="auto"/>
              <w:jc w:val="center"/>
              <w:rPr>
                <w:rFonts w:ascii="Calibri" w:hAnsi="Calibri" w:cs="Calibri"/>
                <w:color w:val="000000"/>
                <w:sz w:val="22"/>
                <w:szCs w:val="22"/>
                <w:lang w:val="pt-PT"/>
              </w:rPr>
            </w:pPr>
            <w:r w:rsidRPr="007A7B06">
              <w:rPr>
                <w:rFonts w:ascii="Calibri" w:hAnsi="Calibri" w:cs="Calibri"/>
                <w:color w:val="000000"/>
                <w:sz w:val="22"/>
                <w:szCs w:val="22"/>
                <w:lang w:val="pt-PT"/>
              </w:rPr>
              <w:t>Víctor Ossorio Nogué v. AT</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45F8EBB4" w14:textId="77777777" w:rsidR="0061487F" w:rsidRPr="007A7B06" w:rsidRDefault="0061487F" w:rsidP="000250B5">
            <w:pPr>
              <w:spacing w:after="0" w:line="240" w:lineRule="auto"/>
              <w:jc w:val="center"/>
              <w:rPr>
                <w:rFonts w:ascii="Calibri" w:hAnsi="Calibri" w:cs="Calibri"/>
                <w:color w:val="000000"/>
                <w:sz w:val="22"/>
                <w:szCs w:val="22"/>
                <w:lang w:val="pt-PT"/>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79774196" w14:textId="77777777" w:rsidR="0061487F" w:rsidRDefault="0061487F" w:rsidP="000250B5">
            <w:pPr>
              <w:spacing w:after="0" w:line="240" w:lineRule="auto"/>
              <w:jc w:val="center"/>
              <w:rPr>
                <w:rFonts w:ascii="Calibri" w:hAnsi="Calibri" w:cs="Calibri"/>
                <w:color w:val="000000"/>
                <w:sz w:val="16"/>
                <w:szCs w:val="16"/>
              </w:rPr>
            </w:pPr>
            <w:r>
              <w:rPr>
                <w:rFonts w:ascii="Calibri" w:hAnsi="Calibri" w:cs="Calibri"/>
                <w:color w:val="000000"/>
                <w:sz w:val="16"/>
                <w:szCs w:val="16"/>
              </w:rPr>
              <w:t>K PE2015-0071</w:t>
            </w: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6F1C1897" w14:textId="77777777" w:rsidR="0061487F" w:rsidRDefault="0061487F" w:rsidP="000250B5">
            <w:pPr>
              <w:spacing w:after="0" w:line="240" w:lineRule="auto"/>
              <w:jc w:val="center"/>
              <w:rPr>
                <w:rFonts w:ascii="Calibri" w:hAnsi="Calibri" w:cs="Calibri"/>
                <w:color w:val="000000"/>
                <w:sz w:val="22"/>
                <w:szCs w:val="22"/>
              </w:rPr>
            </w:pPr>
            <w:r>
              <w:rPr>
                <w:rFonts w:ascii="Calibri" w:hAnsi="Calibri" w:cs="Calibri"/>
                <w:color w:val="000000"/>
                <w:sz w:val="16"/>
                <w:szCs w:val="16"/>
              </w:rPr>
              <w:t>KLAN-2016-0076</w:t>
            </w: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23E857DC" w14:textId="77777777" w:rsidR="0061487F" w:rsidRDefault="0061487F"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37F6844" w14:textId="77777777" w:rsidR="0061487F" w:rsidRDefault="0061487F"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9CFCE45" w14:textId="77777777" w:rsidR="0061487F" w:rsidRDefault="0061487F" w:rsidP="000250B5">
            <w:pPr>
              <w:spacing w:after="0" w:line="240" w:lineRule="auto"/>
              <w:jc w:val="center"/>
              <w:rPr>
                <w:rFonts w:ascii="Calibri" w:hAnsi="Calibri" w:cs="Calibri"/>
                <w:color w:val="000000"/>
                <w:sz w:val="22"/>
                <w:szCs w:val="22"/>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6429178A" w14:textId="77777777" w:rsidR="0061487F" w:rsidRDefault="0061487F" w:rsidP="000250B5">
            <w:pPr>
              <w:spacing w:after="0" w:line="240" w:lineRule="auto"/>
              <w:jc w:val="center"/>
              <w:rPr>
                <w:rFonts w:ascii="Calibri" w:hAnsi="Calibri" w:cs="Calibri"/>
                <w:color w:val="000000"/>
                <w:sz w:val="22"/>
                <w:szCs w:val="22"/>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1778E73F" w14:textId="77777777" w:rsidR="0061487F" w:rsidRPr="00E440BE" w:rsidRDefault="0061487F" w:rsidP="000250B5">
            <w:pPr>
              <w:spacing w:after="0" w:line="240" w:lineRule="auto"/>
              <w:jc w:val="center"/>
              <w:rPr>
                <w:rFonts w:ascii="Calibri" w:hAnsi="Calibri" w:cs="Calibri"/>
                <w:color w:val="000000"/>
                <w:sz w:val="16"/>
                <w:szCs w:val="16"/>
              </w:rPr>
            </w:pPr>
            <w:r w:rsidRPr="00E440BE">
              <w:rPr>
                <w:rFonts w:ascii="Calibri" w:hAnsi="Calibri" w:cs="Calibri"/>
                <w:color w:val="000000"/>
                <w:sz w:val="16"/>
                <w:szCs w:val="16"/>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144C14C3" w14:textId="77777777" w:rsidR="0061487F" w:rsidRPr="00E440BE" w:rsidRDefault="0061487F" w:rsidP="000250B5">
            <w:pPr>
              <w:spacing w:after="0" w:line="240" w:lineRule="auto"/>
              <w:jc w:val="center"/>
              <w:rPr>
                <w:rFonts w:ascii="Calibri" w:eastAsia="Times New Roman" w:hAnsi="Calibri" w:cs="Calibri"/>
                <w:color w:val="000000"/>
                <w:kern w:val="0"/>
                <w:sz w:val="16"/>
                <w:szCs w:val="16"/>
                <w14:ligatures w14:val="none"/>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45C52B25" w14:textId="77777777" w:rsidR="0061487F" w:rsidRPr="00E440BE" w:rsidRDefault="0061487F" w:rsidP="000250B5">
            <w:pPr>
              <w:spacing w:after="0" w:line="240" w:lineRule="auto"/>
              <w:jc w:val="center"/>
              <w:rPr>
                <w:rFonts w:ascii="Calibri" w:hAnsi="Calibri" w:cs="Calibri"/>
                <w:color w:val="000000"/>
                <w:sz w:val="16"/>
                <w:szCs w:val="16"/>
              </w:rPr>
            </w:pPr>
            <w:r w:rsidRPr="00E440BE">
              <w:rPr>
                <w:rFonts w:ascii="Calibri" w:hAnsi="Calibri" w:cs="Calibri"/>
                <w:color w:val="000000"/>
                <w:sz w:val="16"/>
                <w:szCs w:val="16"/>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38150E06" w14:textId="77777777" w:rsidR="0061487F" w:rsidRPr="00E440BE" w:rsidRDefault="0061487F" w:rsidP="000250B5">
            <w:pPr>
              <w:spacing w:after="0" w:line="240" w:lineRule="auto"/>
              <w:jc w:val="center"/>
              <w:rPr>
                <w:rFonts w:ascii="Calibri" w:hAnsi="Calibri" w:cs="Calibri"/>
                <w:color w:val="000000"/>
                <w:sz w:val="16"/>
                <w:szCs w:val="16"/>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1AC7BF05" w14:textId="77777777" w:rsidR="0061487F" w:rsidRPr="00E440BE" w:rsidRDefault="0061487F" w:rsidP="000250B5">
            <w:pPr>
              <w:spacing w:after="0" w:line="240" w:lineRule="auto"/>
              <w:jc w:val="center"/>
              <w:rPr>
                <w:rFonts w:ascii="Calibri" w:hAnsi="Calibri" w:cs="Calibri"/>
                <w:color w:val="000000"/>
                <w:sz w:val="16"/>
                <w:szCs w:val="16"/>
              </w:rPr>
            </w:pPr>
            <w:r w:rsidRPr="00E440BE">
              <w:rPr>
                <w:rFonts w:ascii="Calibri" w:hAnsi="Calibri" w:cs="Calibri"/>
                <w:color w:val="000000"/>
                <w:sz w:val="16"/>
                <w:szCs w:val="16"/>
              </w:rPr>
              <w:t>N/A</w:t>
            </w:r>
          </w:p>
        </w:tc>
        <w:tc>
          <w:tcPr>
            <w:tcW w:w="4173" w:type="dxa"/>
            <w:tcBorders>
              <w:top w:val="single" w:sz="4" w:space="0" w:color="auto"/>
              <w:left w:val="nil"/>
              <w:bottom w:val="single" w:sz="4" w:space="0" w:color="auto"/>
              <w:right w:val="single" w:sz="4" w:space="0" w:color="auto"/>
            </w:tcBorders>
            <w:shd w:val="clear" w:color="auto" w:fill="auto"/>
            <w:vAlign w:val="center"/>
          </w:tcPr>
          <w:p w14:paraId="7BF7D730" w14:textId="77777777" w:rsidR="0061487F" w:rsidRPr="00E440BE" w:rsidRDefault="0061487F" w:rsidP="000250B5">
            <w:pPr>
              <w:spacing w:after="0" w:line="240" w:lineRule="auto"/>
              <w:jc w:val="both"/>
              <w:rPr>
                <w:rFonts w:ascii="Calibri" w:hAnsi="Calibri" w:cs="Calibri"/>
                <w:color w:val="000000"/>
                <w:sz w:val="16"/>
                <w:szCs w:val="16"/>
              </w:rPr>
            </w:pPr>
            <w:r w:rsidRPr="00E440BE">
              <w:rPr>
                <w:rFonts w:ascii="Calibri" w:hAnsi="Calibri" w:cs="Calibri"/>
                <w:color w:val="000000"/>
                <w:sz w:val="16"/>
                <w:szCs w:val="16"/>
              </w:rPr>
              <w:t>Despido Injustificado. Tiene Sentencia del Tribunal de Apelaciones.</w:t>
            </w:r>
          </w:p>
        </w:tc>
      </w:tr>
      <w:tr w:rsidR="0061487F" w:rsidRPr="003E2CFD" w14:paraId="462AEA5B"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E32373" w14:textId="77777777" w:rsidR="0061487F" w:rsidRDefault="0061487F" w:rsidP="000250B5">
            <w:pPr>
              <w:spacing w:after="0" w:line="240" w:lineRule="auto"/>
              <w:jc w:val="center"/>
              <w:rPr>
                <w:rFonts w:ascii="Calibri" w:hAnsi="Calibri" w:cs="Calibri"/>
                <w:color w:val="000000"/>
                <w:sz w:val="22"/>
                <w:szCs w:val="22"/>
              </w:rPr>
            </w:pPr>
            <w:r>
              <w:rPr>
                <w:rFonts w:ascii="Calibri" w:hAnsi="Calibri" w:cs="Calibri"/>
                <w:color w:val="000000"/>
                <w:sz w:val="22"/>
                <w:szCs w:val="22"/>
              </w:rPr>
              <w:t>AT v. Sucn. Julia Calderón</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2CD3C593" w14:textId="77777777" w:rsidR="0061487F" w:rsidRDefault="0061487F"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534F673A" w14:textId="77777777" w:rsidR="0061487F" w:rsidRDefault="0061487F" w:rsidP="000250B5">
            <w:pPr>
              <w:spacing w:after="0" w:line="240" w:lineRule="auto"/>
              <w:jc w:val="center"/>
              <w:rPr>
                <w:rFonts w:ascii="Calibri" w:hAnsi="Calibri" w:cs="Calibri"/>
                <w:color w:val="000000"/>
                <w:sz w:val="16"/>
                <w:szCs w:val="16"/>
              </w:rPr>
            </w:pPr>
            <w:r>
              <w:rPr>
                <w:rFonts w:ascii="Calibri" w:hAnsi="Calibri" w:cs="Calibri"/>
                <w:color w:val="000000"/>
                <w:sz w:val="16"/>
                <w:szCs w:val="16"/>
              </w:rPr>
              <w:t>K EF2015-0056</w:t>
            </w: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2837F935" w14:textId="77777777" w:rsidR="0061487F" w:rsidRDefault="0061487F" w:rsidP="000250B5">
            <w:pPr>
              <w:spacing w:after="0" w:line="240" w:lineRule="auto"/>
              <w:jc w:val="center"/>
              <w:rPr>
                <w:rFonts w:ascii="Calibri" w:hAnsi="Calibri" w:cs="Calibri"/>
                <w:color w:val="000000"/>
                <w:sz w:val="22"/>
                <w:szCs w:val="22"/>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066037A1" w14:textId="77777777" w:rsidR="0061487F" w:rsidRDefault="0061487F"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442D901" w14:textId="77777777" w:rsidR="0061487F" w:rsidRDefault="0061487F"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38BDA14" w14:textId="77777777" w:rsidR="0061487F" w:rsidRDefault="0061487F" w:rsidP="000250B5">
            <w:pPr>
              <w:spacing w:after="0" w:line="240" w:lineRule="auto"/>
              <w:jc w:val="center"/>
              <w:rPr>
                <w:rFonts w:ascii="Calibri" w:hAnsi="Calibri" w:cs="Calibri"/>
                <w:color w:val="000000"/>
                <w:sz w:val="22"/>
                <w:szCs w:val="22"/>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2739D528" w14:textId="77777777" w:rsidR="0061487F" w:rsidRDefault="0061487F" w:rsidP="000250B5">
            <w:pPr>
              <w:spacing w:after="0" w:line="240" w:lineRule="auto"/>
              <w:jc w:val="center"/>
              <w:rPr>
                <w:rFonts w:ascii="Calibri" w:hAnsi="Calibri" w:cs="Calibri"/>
                <w:color w:val="000000"/>
                <w:sz w:val="22"/>
                <w:szCs w:val="22"/>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70B33998" w14:textId="77777777" w:rsidR="0061487F" w:rsidRPr="00E440BE" w:rsidRDefault="0061487F" w:rsidP="000250B5">
            <w:pPr>
              <w:spacing w:after="0" w:line="240" w:lineRule="auto"/>
              <w:jc w:val="center"/>
              <w:rPr>
                <w:rFonts w:ascii="Calibri" w:hAnsi="Calibri" w:cs="Calibri"/>
                <w:color w:val="000000"/>
                <w:sz w:val="16"/>
                <w:szCs w:val="16"/>
              </w:rPr>
            </w:pPr>
            <w:r w:rsidRPr="00E440BE">
              <w:rPr>
                <w:rFonts w:ascii="Calibri" w:hAnsi="Calibri" w:cs="Calibri"/>
                <w:color w:val="000000"/>
                <w:sz w:val="16"/>
                <w:szCs w:val="16"/>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26B562CC" w14:textId="77777777" w:rsidR="0061487F" w:rsidRPr="00E440BE" w:rsidRDefault="0061487F" w:rsidP="000250B5">
            <w:pPr>
              <w:spacing w:after="0" w:line="240" w:lineRule="auto"/>
              <w:jc w:val="center"/>
              <w:rPr>
                <w:rFonts w:ascii="Calibri" w:eastAsia="Times New Roman" w:hAnsi="Calibri" w:cs="Calibri"/>
                <w:color w:val="000000"/>
                <w:kern w:val="0"/>
                <w:sz w:val="16"/>
                <w:szCs w:val="16"/>
                <w14:ligatures w14:val="none"/>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179BF937" w14:textId="77777777" w:rsidR="0061487F" w:rsidRPr="00E440BE" w:rsidRDefault="0061487F" w:rsidP="000250B5">
            <w:pPr>
              <w:spacing w:after="0" w:line="240" w:lineRule="auto"/>
              <w:jc w:val="center"/>
              <w:rPr>
                <w:rFonts w:ascii="Calibri" w:hAnsi="Calibri" w:cs="Calibri"/>
                <w:color w:val="000000"/>
                <w:sz w:val="16"/>
                <w:szCs w:val="16"/>
              </w:rPr>
            </w:pPr>
            <w:r w:rsidRPr="00E440BE">
              <w:rPr>
                <w:rFonts w:ascii="Calibri" w:hAnsi="Calibri" w:cs="Calibri"/>
                <w:color w:val="000000"/>
                <w:sz w:val="16"/>
                <w:szCs w:val="16"/>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55B462EF" w14:textId="77777777" w:rsidR="0061487F" w:rsidRPr="00E440BE" w:rsidRDefault="0061487F" w:rsidP="000250B5">
            <w:pPr>
              <w:spacing w:after="0" w:line="240" w:lineRule="auto"/>
              <w:jc w:val="center"/>
              <w:rPr>
                <w:rFonts w:ascii="Calibri" w:hAnsi="Calibri" w:cs="Calibri"/>
                <w:color w:val="000000"/>
                <w:sz w:val="16"/>
                <w:szCs w:val="16"/>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04444E42" w14:textId="77777777" w:rsidR="0061487F" w:rsidRPr="00E440BE" w:rsidRDefault="0061487F" w:rsidP="000250B5">
            <w:pPr>
              <w:spacing w:after="0" w:line="240" w:lineRule="auto"/>
              <w:jc w:val="center"/>
              <w:rPr>
                <w:rFonts w:ascii="Calibri" w:hAnsi="Calibri" w:cs="Calibri"/>
                <w:color w:val="000000"/>
                <w:sz w:val="16"/>
                <w:szCs w:val="16"/>
              </w:rPr>
            </w:pPr>
            <w:r w:rsidRPr="00E440BE">
              <w:rPr>
                <w:rFonts w:ascii="Calibri" w:hAnsi="Calibri" w:cs="Calibri"/>
                <w:color w:val="000000"/>
                <w:sz w:val="16"/>
                <w:szCs w:val="16"/>
              </w:rPr>
              <w:t>$26,000</w:t>
            </w:r>
          </w:p>
        </w:tc>
        <w:tc>
          <w:tcPr>
            <w:tcW w:w="4173" w:type="dxa"/>
            <w:tcBorders>
              <w:top w:val="single" w:sz="4" w:space="0" w:color="auto"/>
              <w:left w:val="nil"/>
              <w:bottom w:val="single" w:sz="4" w:space="0" w:color="auto"/>
              <w:right w:val="single" w:sz="4" w:space="0" w:color="auto"/>
            </w:tcBorders>
            <w:shd w:val="clear" w:color="auto" w:fill="auto"/>
            <w:vAlign w:val="center"/>
          </w:tcPr>
          <w:p w14:paraId="4B7AEEE0" w14:textId="77777777" w:rsidR="0061487F" w:rsidRPr="00E440BE" w:rsidRDefault="0061487F" w:rsidP="000250B5">
            <w:pPr>
              <w:spacing w:after="0" w:line="240" w:lineRule="auto"/>
              <w:jc w:val="both"/>
              <w:rPr>
                <w:rFonts w:ascii="Calibri" w:hAnsi="Calibri" w:cs="Calibri"/>
                <w:color w:val="000000"/>
                <w:sz w:val="16"/>
                <w:szCs w:val="16"/>
              </w:rPr>
            </w:pPr>
            <w:r w:rsidRPr="00E440BE">
              <w:rPr>
                <w:rFonts w:ascii="Calibri" w:hAnsi="Calibri" w:cs="Calibri"/>
                <w:color w:val="000000"/>
                <w:sz w:val="16"/>
                <w:szCs w:val="16"/>
              </w:rPr>
              <w:t>Expropiación Forzosa (Plan de Desarrollo de Cantera) Sentencia dictada el 18 de abril de 2018.</w:t>
            </w:r>
          </w:p>
        </w:tc>
      </w:tr>
      <w:tr w:rsidR="0061487F" w:rsidRPr="003E2CFD" w14:paraId="0C5BD051"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6D7CDF" w14:textId="77777777" w:rsidR="0061487F" w:rsidRDefault="0061487F" w:rsidP="000250B5">
            <w:pPr>
              <w:spacing w:after="0" w:line="240" w:lineRule="auto"/>
              <w:jc w:val="center"/>
              <w:rPr>
                <w:rFonts w:ascii="Calibri" w:hAnsi="Calibri" w:cs="Calibri"/>
                <w:color w:val="000000"/>
                <w:sz w:val="22"/>
                <w:szCs w:val="22"/>
              </w:rPr>
            </w:pPr>
            <w:r>
              <w:rPr>
                <w:rFonts w:ascii="Calibri" w:hAnsi="Calibri" w:cs="Calibri"/>
                <w:color w:val="000000"/>
                <w:sz w:val="22"/>
                <w:szCs w:val="22"/>
              </w:rPr>
              <w:t>AT v. Sucn. Martín Santos Pastrana</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3E5C72B8" w14:textId="77777777" w:rsidR="0061487F" w:rsidRDefault="0061487F"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7BA9D27C" w14:textId="77777777" w:rsidR="0061487F" w:rsidRDefault="0061487F" w:rsidP="000250B5">
            <w:pPr>
              <w:spacing w:after="0" w:line="240" w:lineRule="auto"/>
              <w:jc w:val="center"/>
              <w:rPr>
                <w:rFonts w:ascii="Calibri" w:hAnsi="Calibri" w:cs="Calibri"/>
                <w:color w:val="000000"/>
                <w:sz w:val="16"/>
                <w:szCs w:val="16"/>
              </w:rPr>
            </w:pPr>
            <w:r>
              <w:rPr>
                <w:rFonts w:ascii="Calibri" w:hAnsi="Calibri" w:cs="Calibri"/>
                <w:color w:val="000000"/>
                <w:sz w:val="16"/>
                <w:szCs w:val="16"/>
              </w:rPr>
              <w:t>K EF2016-0028</w:t>
            </w: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3CFCD07D" w14:textId="77777777" w:rsidR="0061487F" w:rsidRDefault="0061487F" w:rsidP="000250B5">
            <w:pPr>
              <w:spacing w:after="0" w:line="240" w:lineRule="auto"/>
              <w:jc w:val="center"/>
              <w:rPr>
                <w:rFonts w:ascii="Calibri" w:hAnsi="Calibri" w:cs="Calibri"/>
                <w:color w:val="000000"/>
                <w:sz w:val="22"/>
                <w:szCs w:val="22"/>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49D72566" w14:textId="77777777" w:rsidR="0061487F" w:rsidRDefault="0061487F"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DC299A9" w14:textId="77777777" w:rsidR="0061487F" w:rsidRDefault="0061487F"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D8DDFE9" w14:textId="77777777" w:rsidR="0061487F" w:rsidRDefault="0061487F" w:rsidP="000250B5">
            <w:pPr>
              <w:spacing w:after="0" w:line="240" w:lineRule="auto"/>
              <w:jc w:val="center"/>
              <w:rPr>
                <w:rFonts w:ascii="Calibri" w:hAnsi="Calibri" w:cs="Calibri"/>
                <w:color w:val="000000"/>
                <w:sz w:val="22"/>
                <w:szCs w:val="22"/>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16D39642" w14:textId="77777777" w:rsidR="0061487F" w:rsidRDefault="0061487F" w:rsidP="000250B5">
            <w:pPr>
              <w:spacing w:after="0" w:line="240" w:lineRule="auto"/>
              <w:jc w:val="center"/>
              <w:rPr>
                <w:rFonts w:ascii="Calibri" w:hAnsi="Calibri" w:cs="Calibri"/>
                <w:color w:val="000000"/>
                <w:sz w:val="22"/>
                <w:szCs w:val="22"/>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4E3826AF" w14:textId="77777777" w:rsidR="0061487F" w:rsidRPr="00E440BE" w:rsidRDefault="0061487F" w:rsidP="000250B5">
            <w:pPr>
              <w:spacing w:after="0" w:line="240" w:lineRule="auto"/>
              <w:jc w:val="center"/>
              <w:rPr>
                <w:rFonts w:ascii="Calibri" w:hAnsi="Calibri" w:cs="Calibri"/>
                <w:color w:val="000000"/>
                <w:sz w:val="16"/>
                <w:szCs w:val="16"/>
              </w:rPr>
            </w:pPr>
            <w:r w:rsidRPr="00E440BE">
              <w:rPr>
                <w:rFonts w:ascii="Calibri" w:hAnsi="Calibri" w:cs="Calibri"/>
                <w:color w:val="000000"/>
                <w:sz w:val="16"/>
                <w:szCs w:val="16"/>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5B30F711" w14:textId="77777777" w:rsidR="0061487F" w:rsidRPr="00E440BE" w:rsidRDefault="0061487F" w:rsidP="000250B5">
            <w:pPr>
              <w:spacing w:after="0" w:line="240" w:lineRule="auto"/>
              <w:jc w:val="center"/>
              <w:rPr>
                <w:rFonts w:ascii="Calibri" w:eastAsia="Times New Roman" w:hAnsi="Calibri" w:cs="Calibri"/>
                <w:color w:val="000000"/>
                <w:kern w:val="0"/>
                <w:sz w:val="16"/>
                <w:szCs w:val="16"/>
                <w14:ligatures w14:val="none"/>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00832BCF" w14:textId="77777777" w:rsidR="0061487F" w:rsidRPr="00E440BE" w:rsidRDefault="0061487F" w:rsidP="000250B5">
            <w:pPr>
              <w:spacing w:after="0" w:line="240" w:lineRule="auto"/>
              <w:jc w:val="center"/>
              <w:rPr>
                <w:rFonts w:ascii="Calibri" w:hAnsi="Calibri" w:cs="Calibri"/>
                <w:color w:val="000000"/>
                <w:sz w:val="16"/>
                <w:szCs w:val="16"/>
              </w:rPr>
            </w:pPr>
            <w:r w:rsidRPr="00E440BE">
              <w:rPr>
                <w:rFonts w:ascii="Calibri" w:hAnsi="Calibri" w:cs="Calibri"/>
                <w:color w:val="000000"/>
                <w:sz w:val="16"/>
                <w:szCs w:val="16"/>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43345581" w14:textId="77777777" w:rsidR="0061487F" w:rsidRPr="00E440BE" w:rsidRDefault="0061487F" w:rsidP="000250B5">
            <w:pPr>
              <w:spacing w:after="0" w:line="240" w:lineRule="auto"/>
              <w:jc w:val="center"/>
              <w:rPr>
                <w:rFonts w:ascii="Calibri" w:hAnsi="Calibri" w:cs="Calibri"/>
                <w:color w:val="000000"/>
                <w:sz w:val="16"/>
                <w:szCs w:val="16"/>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49C0FD45" w14:textId="77777777" w:rsidR="0061487F" w:rsidRPr="00E440BE" w:rsidRDefault="0061487F" w:rsidP="000250B5">
            <w:pPr>
              <w:spacing w:after="0" w:line="240" w:lineRule="auto"/>
              <w:jc w:val="center"/>
              <w:rPr>
                <w:rFonts w:ascii="Calibri" w:hAnsi="Calibri" w:cs="Calibri"/>
                <w:color w:val="000000"/>
                <w:sz w:val="16"/>
                <w:szCs w:val="16"/>
              </w:rPr>
            </w:pPr>
            <w:r w:rsidRPr="00E440BE">
              <w:rPr>
                <w:rFonts w:ascii="Calibri" w:hAnsi="Calibri" w:cs="Calibri"/>
                <w:color w:val="000000"/>
                <w:sz w:val="16"/>
                <w:szCs w:val="16"/>
              </w:rPr>
              <w:t>$28,000</w:t>
            </w:r>
          </w:p>
        </w:tc>
        <w:tc>
          <w:tcPr>
            <w:tcW w:w="4173" w:type="dxa"/>
            <w:tcBorders>
              <w:top w:val="single" w:sz="4" w:space="0" w:color="auto"/>
              <w:left w:val="nil"/>
              <w:bottom w:val="single" w:sz="4" w:space="0" w:color="auto"/>
              <w:right w:val="single" w:sz="4" w:space="0" w:color="auto"/>
            </w:tcBorders>
            <w:shd w:val="clear" w:color="auto" w:fill="auto"/>
            <w:vAlign w:val="center"/>
          </w:tcPr>
          <w:p w14:paraId="0BC12958" w14:textId="77777777" w:rsidR="0061487F" w:rsidRPr="00E440BE" w:rsidRDefault="0061487F" w:rsidP="000250B5">
            <w:pPr>
              <w:spacing w:after="0" w:line="240" w:lineRule="auto"/>
              <w:jc w:val="both"/>
              <w:rPr>
                <w:rFonts w:ascii="Calibri" w:hAnsi="Calibri" w:cs="Calibri"/>
                <w:color w:val="000000"/>
                <w:sz w:val="16"/>
                <w:szCs w:val="16"/>
              </w:rPr>
            </w:pPr>
            <w:r w:rsidRPr="00E440BE">
              <w:rPr>
                <w:rFonts w:ascii="Calibri" w:hAnsi="Calibri" w:cs="Calibri"/>
                <w:color w:val="000000"/>
                <w:sz w:val="16"/>
                <w:szCs w:val="16"/>
              </w:rPr>
              <w:t>Expropiación Forzosa (Plan de Desarrollo de Cantera) Sentencia dictada el 20 de noviembre de 2018.</w:t>
            </w:r>
          </w:p>
        </w:tc>
      </w:tr>
      <w:tr w:rsidR="00984FBA" w:rsidRPr="003E2CFD" w14:paraId="648E14B7"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536182" w14:textId="77777777" w:rsidR="00984FBA" w:rsidRDefault="00984FBA" w:rsidP="000250B5">
            <w:pPr>
              <w:spacing w:after="0" w:line="240" w:lineRule="auto"/>
              <w:jc w:val="center"/>
              <w:rPr>
                <w:rFonts w:ascii="Calibri" w:hAnsi="Calibri" w:cs="Calibri"/>
                <w:color w:val="000000"/>
                <w:sz w:val="22"/>
                <w:szCs w:val="22"/>
              </w:rPr>
            </w:pPr>
            <w:r>
              <w:rPr>
                <w:rFonts w:ascii="Calibri" w:hAnsi="Calibri" w:cs="Calibri"/>
                <w:color w:val="000000"/>
                <w:sz w:val="22"/>
                <w:szCs w:val="22"/>
              </w:rPr>
              <w:t>AT v. Sucn. Felipe Pérez Cuadrado</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4ED086E7" w14:textId="77777777" w:rsidR="00984FBA" w:rsidRDefault="00984FBA"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30D41B1E" w14:textId="77777777" w:rsidR="00984FBA" w:rsidRDefault="00984FBA" w:rsidP="000250B5">
            <w:pPr>
              <w:spacing w:after="0" w:line="240" w:lineRule="auto"/>
              <w:jc w:val="center"/>
              <w:rPr>
                <w:rFonts w:ascii="Calibri" w:hAnsi="Calibri" w:cs="Calibri"/>
                <w:color w:val="000000"/>
                <w:sz w:val="16"/>
                <w:szCs w:val="16"/>
              </w:rPr>
            </w:pPr>
            <w:r>
              <w:rPr>
                <w:rFonts w:ascii="Calibri" w:hAnsi="Calibri" w:cs="Calibri"/>
                <w:color w:val="000000"/>
                <w:sz w:val="16"/>
                <w:szCs w:val="16"/>
              </w:rPr>
              <w:t>K EF2016-0017</w:t>
            </w: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54212783" w14:textId="77777777" w:rsidR="00984FBA" w:rsidRDefault="00984FBA" w:rsidP="000250B5">
            <w:pPr>
              <w:spacing w:after="0" w:line="240" w:lineRule="auto"/>
              <w:jc w:val="center"/>
              <w:rPr>
                <w:rFonts w:ascii="Calibri" w:hAnsi="Calibri" w:cs="Calibri"/>
                <w:color w:val="000000"/>
                <w:sz w:val="22"/>
                <w:szCs w:val="22"/>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16F5AFB9" w14:textId="77777777" w:rsidR="00984FBA" w:rsidRDefault="00984FBA"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A630B98" w14:textId="77777777" w:rsidR="00984FBA" w:rsidRDefault="00984FBA"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4C0B9AE" w14:textId="77777777" w:rsidR="00984FBA" w:rsidRDefault="00984FBA" w:rsidP="000250B5">
            <w:pPr>
              <w:spacing w:after="0" w:line="240" w:lineRule="auto"/>
              <w:jc w:val="center"/>
              <w:rPr>
                <w:rFonts w:ascii="Calibri" w:hAnsi="Calibri" w:cs="Calibri"/>
                <w:color w:val="000000"/>
                <w:sz w:val="22"/>
                <w:szCs w:val="22"/>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20A044E5" w14:textId="77777777" w:rsidR="00984FBA" w:rsidRDefault="00984FBA" w:rsidP="000250B5">
            <w:pPr>
              <w:spacing w:after="0" w:line="240" w:lineRule="auto"/>
              <w:jc w:val="center"/>
              <w:rPr>
                <w:rFonts w:ascii="Calibri" w:hAnsi="Calibri" w:cs="Calibri"/>
                <w:color w:val="000000"/>
                <w:sz w:val="22"/>
                <w:szCs w:val="22"/>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3F7FC242" w14:textId="77777777" w:rsidR="00984FBA" w:rsidRPr="00E440BE" w:rsidRDefault="00984FBA" w:rsidP="000250B5">
            <w:pPr>
              <w:spacing w:after="0" w:line="240" w:lineRule="auto"/>
              <w:jc w:val="center"/>
              <w:rPr>
                <w:rFonts w:ascii="Calibri" w:hAnsi="Calibri" w:cs="Calibri"/>
                <w:color w:val="000000"/>
                <w:sz w:val="16"/>
                <w:szCs w:val="16"/>
              </w:rPr>
            </w:pPr>
            <w:r w:rsidRPr="00E440BE">
              <w:rPr>
                <w:rFonts w:ascii="Calibri" w:hAnsi="Calibri" w:cs="Calibri"/>
                <w:color w:val="000000"/>
                <w:sz w:val="16"/>
                <w:szCs w:val="16"/>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234C393E" w14:textId="77777777" w:rsidR="00984FBA" w:rsidRPr="00E440BE" w:rsidRDefault="00984FBA" w:rsidP="000250B5">
            <w:pPr>
              <w:spacing w:after="0" w:line="240" w:lineRule="auto"/>
              <w:jc w:val="center"/>
              <w:rPr>
                <w:rFonts w:ascii="Calibri" w:eastAsia="Times New Roman" w:hAnsi="Calibri" w:cs="Calibri"/>
                <w:color w:val="000000"/>
                <w:kern w:val="0"/>
                <w:sz w:val="16"/>
                <w:szCs w:val="16"/>
                <w14:ligatures w14:val="none"/>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3E3CBC24" w14:textId="77777777" w:rsidR="00984FBA" w:rsidRPr="00E440BE" w:rsidRDefault="00984FBA" w:rsidP="000250B5">
            <w:pPr>
              <w:spacing w:after="0" w:line="240" w:lineRule="auto"/>
              <w:jc w:val="center"/>
              <w:rPr>
                <w:rFonts w:ascii="Calibri" w:hAnsi="Calibri" w:cs="Calibri"/>
                <w:color w:val="000000"/>
                <w:sz w:val="16"/>
                <w:szCs w:val="16"/>
              </w:rPr>
            </w:pPr>
            <w:r w:rsidRPr="00E440BE">
              <w:rPr>
                <w:rFonts w:ascii="Calibri" w:hAnsi="Calibri" w:cs="Calibri"/>
                <w:color w:val="000000"/>
                <w:sz w:val="16"/>
                <w:szCs w:val="16"/>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3B0A88E5" w14:textId="77777777" w:rsidR="00984FBA" w:rsidRPr="00E440BE" w:rsidRDefault="00984FBA" w:rsidP="000250B5">
            <w:pPr>
              <w:spacing w:after="0" w:line="240" w:lineRule="auto"/>
              <w:jc w:val="center"/>
              <w:rPr>
                <w:rFonts w:ascii="Calibri" w:hAnsi="Calibri" w:cs="Calibri"/>
                <w:color w:val="000000"/>
                <w:sz w:val="16"/>
                <w:szCs w:val="16"/>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1E328E8A" w14:textId="77777777" w:rsidR="00984FBA" w:rsidRPr="00E440BE" w:rsidRDefault="00984FBA" w:rsidP="000250B5">
            <w:pPr>
              <w:spacing w:after="0" w:line="240" w:lineRule="auto"/>
              <w:jc w:val="center"/>
              <w:rPr>
                <w:rFonts w:ascii="Calibri" w:hAnsi="Calibri" w:cs="Calibri"/>
                <w:color w:val="000000"/>
                <w:sz w:val="16"/>
                <w:szCs w:val="16"/>
              </w:rPr>
            </w:pPr>
            <w:r w:rsidRPr="00E440BE">
              <w:rPr>
                <w:rFonts w:ascii="Calibri" w:hAnsi="Calibri" w:cs="Calibri"/>
                <w:color w:val="000000"/>
                <w:sz w:val="16"/>
                <w:szCs w:val="16"/>
              </w:rPr>
              <w:t>$45,000</w:t>
            </w:r>
          </w:p>
        </w:tc>
        <w:tc>
          <w:tcPr>
            <w:tcW w:w="4173" w:type="dxa"/>
            <w:tcBorders>
              <w:top w:val="single" w:sz="4" w:space="0" w:color="auto"/>
              <w:left w:val="nil"/>
              <w:bottom w:val="single" w:sz="4" w:space="0" w:color="auto"/>
              <w:right w:val="single" w:sz="4" w:space="0" w:color="auto"/>
            </w:tcBorders>
            <w:shd w:val="clear" w:color="auto" w:fill="auto"/>
            <w:vAlign w:val="center"/>
          </w:tcPr>
          <w:p w14:paraId="1492F357" w14:textId="77777777" w:rsidR="00984FBA" w:rsidRPr="00E440BE" w:rsidRDefault="00984FBA" w:rsidP="000250B5">
            <w:pPr>
              <w:spacing w:after="0" w:line="240" w:lineRule="auto"/>
              <w:jc w:val="both"/>
              <w:rPr>
                <w:rFonts w:ascii="Calibri" w:hAnsi="Calibri" w:cs="Calibri"/>
                <w:color w:val="000000"/>
                <w:sz w:val="16"/>
                <w:szCs w:val="16"/>
              </w:rPr>
            </w:pPr>
            <w:r w:rsidRPr="00E440BE">
              <w:rPr>
                <w:rFonts w:ascii="Calibri" w:hAnsi="Calibri" w:cs="Calibri"/>
                <w:color w:val="000000"/>
                <w:sz w:val="16"/>
                <w:szCs w:val="16"/>
              </w:rPr>
              <w:t>Expropiación Forzosa (Plan de Desarrollo de Cantera) Sentencia dictada el 9 de octubre de 2018.</w:t>
            </w:r>
          </w:p>
        </w:tc>
      </w:tr>
      <w:tr w:rsidR="00984FBA" w:rsidRPr="003E2CFD" w14:paraId="1DA75324"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BD8E97" w14:textId="77777777" w:rsidR="00984FBA" w:rsidRDefault="00984FBA" w:rsidP="000250B5">
            <w:pPr>
              <w:spacing w:after="0" w:line="240" w:lineRule="auto"/>
              <w:jc w:val="center"/>
              <w:rPr>
                <w:rFonts w:ascii="Calibri" w:hAnsi="Calibri" w:cs="Calibri"/>
                <w:color w:val="000000"/>
                <w:sz w:val="22"/>
                <w:szCs w:val="22"/>
              </w:rPr>
            </w:pPr>
            <w:r>
              <w:rPr>
                <w:rFonts w:ascii="Calibri" w:hAnsi="Calibri" w:cs="Calibri"/>
                <w:color w:val="000000"/>
                <w:sz w:val="22"/>
                <w:szCs w:val="22"/>
              </w:rPr>
              <w:t>AT v. Sucn. Benita Rodríguez</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38141617" w14:textId="77777777" w:rsidR="00984FBA" w:rsidRDefault="00984FBA"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75A04506" w14:textId="77777777" w:rsidR="00984FBA" w:rsidRDefault="00984FBA" w:rsidP="000250B5">
            <w:pPr>
              <w:spacing w:after="0" w:line="240" w:lineRule="auto"/>
              <w:jc w:val="center"/>
              <w:rPr>
                <w:rFonts w:ascii="Calibri" w:hAnsi="Calibri" w:cs="Calibri"/>
                <w:color w:val="000000"/>
                <w:sz w:val="16"/>
                <w:szCs w:val="16"/>
              </w:rPr>
            </w:pPr>
            <w:r>
              <w:rPr>
                <w:rFonts w:ascii="Calibri" w:hAnsi="Calibri" w:cs="Calibri"/>
                <w:color w:val="000000"/>
                <w:sz w:val="16"/>
                <w:szCs w:val="16"/>
              </w:rPr>
              <w:t>K EF2004-1249</w:t>
            </w: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2084DAC3" w14:textId="77777777" w:rsidR="00984FBA" w:rsidRDefault="00984FBA" w:rsidP="000250B5">
            <w:pPr>
              <w:spacing w:after="0" w:line="240" w:lineRule="auto"/>
              <w:jc w:val="center"/>
              <w:rPr>
                <w:rFonts w:ascii="Calibri" w:hAnsi="Calibri" w:cs="Calibri"/>
                <w:color w:val="000000"/>
                <w:sz w:val="22"/>
                <w:szCs w:val="22"/>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23C92DC1" w14:textId="77777777" w:rsidR="00984FBA" w:rsidRDefault="00984FBA"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7ED0074" w14:textId="77777777" w:rsidR="00984FBA" w:rsidRDefault="00984FBA"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A375CF2" w14:textId="77777777" w:rsidR="00984FBA" w:rsidRDefault="00984FBA" w:rsidP="000250B5">
            <w:pPr>
              <w:spacing w:after="0" w:line="240" w:lineRule="auto"/>
              <w:jc w:val="center"/>
              <w:rPr>
                <w:rFonts w:ascii="Calibri" w:hAnsi="Calibri" w:cs="Calibri"/>
                <w:color w:val="000000"/>
                <w:sz w:val="22"/>
                <w:szCs w:val="22"/>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18F5A508" w14:textId="77777777" w:rsidR="00984FBA" w:rsidRDefault="00984FBA" w:rsidP="000250B5">
            <w:pPr>
              <w:spacing w:after="0" w:line="240" w:lineRule="auto"/>
              <w:jc w:val="center"/>
              <w:rPr>
                <w:rFonts w:ascii="Calibri" w:hAnsi="Calibri" w:cs="Calibri"/>
                <w:color w:val="000000"/>
                <w:sz w:val="22"/>
                <w:szCs w:val="22"/>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22C8D3B6" w14:textId="77777777" w:rsidR="00984FBA" w:rsidRPr="00E440BE" w:rsidRDefault="00984FBA" w:rsidP="000250B5">
            <w:pPr>
              <w:spacing w:after="0" w:line="240" w:lineRule="auto"/>
              <w:jc w:val="center"/>
              <w:rPr>
                <w:rFonts w:ascii="Calibri" w:hAnsi="Calibri" w:cs="Calibri"/>
                <w:color w:val="000000"/>
                <w:sz w:val="16"/>
                <w:szCs w:val="16"/>
              </w:rPr>
            </w:pPr>
            <w:r w:rsidRPr="00E440BE">
              <w:rPr>
                <w:rFonts w:ascii="Calibri" w:hAnsi="Calibri" w:cs="Calibri"/>
                <w:color w:val="000000"/>
                <w:sz w:val="16"/>
                <w:szCs w:val="16"/>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0D6EC29D" w14:textId="77777777" w:rsidR="00984FBA" w:rsidRPr="00E440BE" w:rsidRDefault="00984FBA" w:rsidP="000250B5">
            <w:pPr>
              <w:spacing w:after="0" w:line="240" w:lineRule="auto"/>
              <w:jc w:val="center"/>
              <w:rPr>
                <w:rFonts w:ascii="Calibri" w:eastAsia="Times New Roman" w:hAnsi="Calibri" w:cs="Calibri"/>
                <w:color w:val="000000"/>
                <w:kern w:val="0"/>
                <w:sz w:val="16"/>
                <w:szCs w:val="16"/>
                <w14:ligatures w14:val="none"/>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6D2CBE2D" w14:textId="77777777" w:rsidR="00984FBA" w:rsidRPr="00E440BE" w:rsidRDefault="00984FBA" w:rsidP="000250B5">
            <w:pPr>
              <w:spacing w:after="0" w:line="240" w:lineRule="auto"/>
              <w:jc w:val="center"/>
              <w:rPr>
                <w:rFonts w:ascii="Calibri" w:hAnsi="Calibri" w:cs="Calibri"/>
                <w:color w:val="000000"/>
                <w:sz w:val="16"/>
                <w:szCs w:val="16"/>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6888A694" w14:textId="77777777" w:rsidR="00984FBA" w:rsidRPr="00E440BE" w:rsidRDefault="00984FBA" w:rsidP="000250B5">
            <w:pPr>
              <w:spacing w:after="0" w:line="240" w:lineRule="auto"/>
              <w:jc w:val="center"/>
              <w:rPr>
                <w:rFonts w:ascii="Calibri" w:hAnsi="Calibri" w:cs="Calibri"/>
                <w:color w:val="000000"/>
                <w:sz w:val="16"/>
                <w:szCs w:val="16"/>
              </w:rPr>
            </w:pPr>
            <w:r w:rsidRPr="00E440BE">
              <w:rPr>
                <w:rFonts w:ascii="Calibri" w:hAnsi="Calibri" w:cs="Calibri"/>
                <w:color w:val="000000"/>
                <w:sz w:val="16"/>
                <w:szCs w:val="16"/>
              </w:rPr>
              <w:t>x</w:t>
            </w: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5D6B5AB3" w14:textId="77777777" w:rsidR="00984FBA" w:rsidRPr="00E440BE" w:rsidRDefault="00984FBA" w:rsidP="000250B5">
            <w:pPr>
              <w:spacing w:after="0" w:line="240" w:lineRule="auto"/>
              <w:jc w:val="center"/>
              <w:rPr>
                <w:rFonts w:ascii="Calibri" w:hAnsi="Calibri" w:cs="Calibri"/>
                <w:color w:val="000000"/>
                <w:sz w:val="16"/>
                <w:szCs w:val="16"/>
              </w:rPr>
            </w:pPr>
            <w:r w:rsidRPr="00E440BE">
              <w:rPr>
                <w:rFonts w:ascii="Calibri" w:hAnsi="Calibri" w:cs="Calibri"/>
                <w:color w:val="000000"/>
                <w:sz w:val="16"/>
                <w:szCs w:val="16"/>
              </w:rPr>
              <w:t>N/A</w:t>
            </w:r>
          </w:p>
        </w:tc>
        <w:tc>
          <w:tcPr>
            <w:tcW w:w="4173" w:type="dxa"/>
            <w:tcBorders>
              <w:top w:val="single" w:sz="4" w:space="0" w:color="auto"/>
              <w:left w:val="nil"/>
              <w:bottom w:val="single" w:sz="4" w:space="0" w:color="auto"/>
              <w:right w:val="single" w:sz="4" w:space="0" w:color="auto"/>
            </w:tcBorders>
            <w:shd w:val="clear" w:color="auto" w:fill="auto"/>
            <w:vAlign w:val="center"/>
          </w:tcPr>
          <w:p w14:paraId="7A83642F" w14:textId="77777777" w:rsidR="00984FBA" w:rsidRPr="00E440BE" w:rsidRDefault="00984FBA" w:rsidP="000250B5">
            <w:pPr>
              <w:spacing w:after="0" w:line="240" w:lineRule="auto"/>
              <w:jc w:val="both"/>
              <w:rPr>
                <w:rFonts w:ascii="Calibri" w:hAnsi="Calibri" w:cs="Calibri"/>
                <w:color w:val="000000"/>
                <w:sz w:val="16"/>
                <w:szCs w:val="16"/>
              </w:rPr>
            </w:pPr>
            <w:r w:rsidRPr="00E440BE">
              <w:rPr>
                <w:rFonts w:ascii="Calibri" w:hAnsi="Calibri" w:cs="Calibri"/>
                <w:color w:val="000000"/>
                <w:sz w:val="16"/>
                <w:szCs w:val="16"/>
              </w:rPr>
              <w:t>Expropiación forzosa. Sentencia dictada 19 de abril de 2012</w:t>
            </w:r>
          </w:p>
        </w:tc>
      </w:tr>
      <w:tr w:rsidR="00984FBA" w:rsidRPr="003E2CFD" w14:paraId="7B61B8F4"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2D4D7E" w14:textId="77777777" w:rsidR="00984FBA" w:rsidRDefault="00984FBA" w:rsidP="000250B5">
            <w:pPr>
              <w:spacing w:after="0" w:line="240" w:lineRule="auto"/>
              <w:jc w:val="center"/>
              <w:rPr>
                <w:rFonts w:ascii="Calibri" w:hAnsi="Calibri" w:cs="Calibri"/>
                <w:color w:val="000000"/>
                <w:sz w:val="22"/>
                <w:szCs w:val="22"/>
              </w:rPr>
            </w:pPr>
            <w:r>
              <w:rPr>
                <w:rFonts w:ascii="Calibri" w:hAnsi="Calibri" w:cs="Calibri"/>
                <w:color w:val="000000"/>
                <w:sz w:val="22"/>
                <w:szCs w:val="22"/>
              </w:rPr>
              <w:t>AT v. Sucn. Providencia Suárez</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6002A434" w14:textId="77777777" w:rsidR="00984FBA" w:rsidRDefault="00984FBA"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60623907" w14:textId="77777777" w:rsidR="00984FBA" w:rsidRDefault="00984FBA" w:rsidP="000250B5">
            <w:pPr>
              <w:spacing w:after="0" w:line="240" w:lineRule="auto"/>
              <w:jc w:val="center"/>
              <w:rPr>
                <w:rFonts w:ascii="Calibri" w:hAnsi="Calibri" w:cs="Calibri"/>
                <w:color w:val="000000"/>
                <w:sz w:val="16"/>
                <w:szCs w:val="16"/>
              </w:rPr>
            </w:pPr>
            <w:r>
              <w:rPr>
                <w:rFonts w:ascii="Calibri" w:hAnsi="Calibri" w:cs="Calibri"/>
                <w:color w:val="000000"/>
                <w:sz w:val="16"/>
                <w:szCs w:val="16"/>
              </w:rPr>
              <w:t>K EF2017-0006</w:t>
            </w: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3332AF17" w14:textId="77777777" w:rsidR="00984FBA" w:rsidRDefault="00984FBA" w:rsidP="000250B5">
            <w:pPr>
              <w:spacing w:after="0" w:line="240" w:lineRule="auto"/>
              <w:jc w:val="center"/>
              <w:rPr>
                <w:rFonts w:ascii="Calibri" w:hAnsi="Calibri" w:cs="Calibri"/>
                <w:color w:val="000000"/>
                <w:sz w:val="22"/>
                <w:szCs w:val="22"/>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3A73CE43" w14:textId="77777777" w:rsidR="00984FBA" w:rsidRDefault="00984FBA"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7BCB011" w14:textId="77777777" w:rsidR="00984FBA" w:rsidRDefault="00984FBA"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CBB39D7" w14:textId="77777777" w:rsidR="00984FBA" w:rsidRDefault="00984FBA" w:rsidP="000250B5">
            <w:pPr>
              <w:spacing w:after="0" w:line="240" w:lineRule="auto"/>
              <w:jc w:val="center"/>
              <w:rPr>
                <w:rFonts w:ascii="Calibri" w:hAnsi="Calibri" w:cs="Calibri"/>
                <w:color w:val="000000"/>
                <w:sz w:val="22"/>
                <w:szCs w:val="22"/>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65A6D9C0" w14:textId="77777777" w:rsidR="00984FBA" w:rsidRDefault="00984FBA" w:rsidP="000250B5">
            <w:pPr>
              <w:spacing w:after="0" w:line="240" w:lineRule="auto"/>
              <w:jc w:val="center"/>
              <w:rPr>
                <w:rFonts w:ascii="Calibri" w:hAnsi="Calibri" w:cs="Calibri"/>
                <w:color w:val="000000"/>
                <w:sz w:val="22"/>
                <w:szCs w:val="22"/>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4CFC8320" w14:textId="77777777" w:rsidR="00984FBA" w:rsidRPr="00E440BE" w:rsidRDefault="00984FBA" w:rsidP="000250B5">
            <w:pPr>
              <w:spacing w:after="0" w:line="240" w:lineRule="auto"/>
              <w:jc w:val="center"/>
              <w:rPr>
                <w:rFonts w:ascii="Calibri" w:hAnsi="Calibri" w:cs="Calibri"/>
                <w:color w:val="000000"/>
                <w:sz w:val="16"/>
                <w:szCs w:val="16"/>
              </w:rPr>
            </w:pPr>
            <w:r w:rsidRPr="00E440BE">
              <w:rPr>
                <w:rFonts w:ascii="Calibri" w:hAnsi="Calibri" w:cs="Calibri"/>
                <w:color w:val="000000"/>
                <w:sz w:val="16"/>
                <w:szCs w:val="16"/>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0E3F3D71" w14:textId="77777777" w:rsidR="00984FBA" w:rsidRPr="00E440BE" w:rsidRDefault="00984FBA" w:rsidP="000250B5">
            <w:pPr>
              <w:spacing w:after="0" w:line="240" w:lineRule="auto"/>
              <w:jc w:val="center"/>
              <w:rPr>
                <w:rFonts w:ascii="Calibri" w:eastAsia="Times New Roman" w:hAnsi="Calibri" w:cs="Calibri"/>
                <w:color w:val="000000"/>
                <w:kern w:val="0"/>
                <w:sz w:val="16"/>
                <w:szCs w:val="16"/>
                <w14:ligatures w14:val="none"/>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2B24D139" w14:textId="77777777" w:rsidR="00984FBA" w:rsidRPr="00E440BE" w:rsidRDefault="00984FBA" w:rsidP="000250B5">
            <w:pPr>
              <w:spacing w:after="0" w:line="240" w:lineRule="auto"/>
              <w:jc w:val="center"/>
              <w:rPr>
                <w:rFonts w:ascii="Calibri" w:hAnsi="Calibri" w:cs="Calibri"/>
                <w:color w:val="000000"/>
                <w:sz w:val="16"/>
                <w:szCs w:val="16"/>
              </w:rPr>
            </w:pPr>
            <w:r w:rsidRPr="00E440BE">
              <w:rPr>
                <w:rFonts w:ascii="Calibri" w:hAnsi="Calibri" w:cs="Calibri"/>
                <w:color w:val="000000"/>
                <w:sz w:val="16"/>
                <w:szCs w:val="16"/>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3E7B41E3" w14:textId="77777777" w:rsidR="00984FBA" w:rsidRPr="00E440BE" w:rsidRDefault="00984FBA" w:rsidP="000250B5">
            <w:pPr>
              <w:spacing w:after="0" w:line="240" w:lineRule="auto"/>
              <w:jc w:val="center"/>
              <w:rPr>
                <w:rFonts w:ascii="Calibri" w:hAnsi="Calibri" w:cs="Calibri"/>
                <w:color w:val="000000"/>
                <w:sz w:val="16"/>
                <w:szCs w:val="16"/>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199B7490" w14:textId="77777777" w:rsidR="00984FBA" w:rsidRPr="00E440BE" w:rsidRDefault="00984FBA" w:rsidP="000250B5">
            <w:pPr>
              <w:spacing w:after="0" w:line="240" w:lineRule="auto"/>
              <w:jc w:val="center"/>
              <w:rPr>
                <w:rFonts w:ascii="Calibri" w:hAnsi="Calibri" w:cs="Calibri"/>
                <w:color w:val="000000"/>
                <w:sz w:val="16"/>
                <w:szCs w:val="16"/>
              </w:rPr>
            </w:pPr>
            <w:r w:rsidRPr="00E440BE">
              <w:rPr>
                <w:rFonts w:ascii="Calibri" w:hAnsi="Calibri" w:cs="Calibri"/>
                <w:color w:val="000000"/>
                <w:sz w:val="16"/>
                <w:szCs w:val="16"/>
              </w:rPr>
              <w:t>$64,400.00</w:t>
            </w:r>
          </w:p>
        </w:tc>
        <w:tc>
          <w:tcPr>
            <w:tcW w:w="4173" w:type="dxa"/>
            <w:tcBorders>
              <w:top w:val="single" w:sz="4" w:space="0" w:color="auto"/>
              <w:left w:val="nil"/>
              <w:bottom w:val="single" w:sz="4" w:space="0" w:color="auto"/>
              <w:right w:val="single" w:sz="4" w:space="0" w:color="auto"/>
            </w:tcBorders>
            <w:shd w:val="clear" w:color="auto" w:fill="auto"/>
            <w:vAlign w:val="center"/>
          </w:tcPr>
          <w:p w14:paraId="7BD37CA5" w14:textId="77777777" w:rsidR="00984FBA" w:rsidRPr="00E440BE" w:rsidRDefault="00984FBA" w:rsidP="000250B5">
            <w:pPr>
              <w:spacing w:after="0" w:line="240" w:lineRule="auto"/>
              <w:jc w:val="both"/>
              <w:rPr>
                <w:rFonts w:ascii="Calibri" w:hAnsi="Calibri" w:cs="Calibri"/>
                <w:color w:val="000000"/>
                <w:sz w:val="16"/>
                <w:szCs w:val="16"/>
              </w:rPr>
            </w:pPr>
            <w:r w:rsidRPr="00E440BE">
              <w:rPr>
                <w:rFonts w:ascii="Calibri" w:hAnsi="Calibri" w:cs="Calibri"/>
                <w:color w:val="000000"/>
                <w:sz w:val="16"/>
                <w:szCs w:val="16"/>
              </w:rPr>
              <w:t>Expropiación forzosa. Sentencia de 20 de julio de 2020.</w:t>
            </w:r>
          </w:p>
        </w:tc>
      </w:tr>
      <w:tr w:rsidR="00984FBA" w:rsidRPr="003E2CFD" w14:paraId="5320AE6A"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0161F2" w14:textId="77777777" w:rsidR="00984FBA" w:rsidRDefault="00984FBA" w:rsidP="000250B5">
            <w:pPr>
              <w:spacing w:after="0" w:line="240" w:lineRule="auto"/>
              <w:jc w:val="center"/>
              <w:rPr>
                <w:rFonts w:ascii="Calibri" w:hAnsi="Calibri" w:cs="Calibri"/>
                <w:color w:val="000000"/>
                <w:sz w:val="22"/>
                <w:szCs w:val="22"/>
              </w:rPr>
            </w:pPr>
            <w:r>
              <w:rPr>
                <w:rFonts w:ascii="Calibri" w:hAnsi="Calibri" w:cs="Calibri"/>
                <w:color w:val="000000"/>
                <w:sz w:val="22"/>
                <w:szCs w:val="22"/>
              </w:rPr>
              <w:t>Teodoro Rosa v. AT</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2317841E" w14:textId="77777777" w:rsidR="00984FBA" w:rsidRDefault="00984FBA"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58342879" w14:textId="77777777" w:rsidR="00984FBA" w:rsidRDefault="00984FBA" w:rsidP="000250B5">
            <w:pPr>
              <w:spacing w:after="0" w:line="240" w:lineRule="auto"/>
              <w:jc w:val="center"/>
              <w:rPr>
                <w:rFonts w:ascii="Calibri" w:hAnsi="Calibri" w:cs="Calibri"/>
                <w:color w:val="000000"/>
                <w:sz w:val="16"/>
                <w:szCs w:val="16"/>
              </w:rPr>
            </w:pPr>
            <w:r>
              <w:rPr>
                <w:rFonts w:ascii="Calibri" w:hAnsi="Calibri" w:cs="Calibri"/>
                <w:color w:val="000000"/>
                <w:sz w:val="16"/>
                <w:szCs w:val="16"/>
              </w:rPr>
              <w:t>N2CI201000008</w:t>
            </w: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64017EED" w14:textId="77777777" w:rsidR="00984FBA" w:rsidRDefault="00984FBA" w:rsidP="000250B5">
            <w:pPr>
              <w:spacing w:after="0" w:line="240" w:lineRule="auto"/>
              <w:jc w:val="center"/>
              <w:rPr>
                <w:rFonts w:ascii="Calibri" w:hAnsi="Calibri" w:cs="Calibri"/>
                <w:color w:val="000000"/>
                <w:sz w:val="22"/>
                <w:szCs w:val="22"/>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286F2330" w14:textId="77777777" w:rsidR="00984FBA" w:rsidRDefault="00984FBA"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AA5C127" w14:textId="77777777" w:rsidR="00984FBA" w:rsidRDefault="00984FBA"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3EFD167" w14:textId="77777777" w:rsidR="00984FBA" w:rsidRDefault="00984FBA" w:rsidP="000250B5">
            <w:pPr>
              <w:spacing w:after="0" w:line="240" w:lineRule="auto"/>
              <w:jc w:val="center"/>
              <w:rPr>
                <w:rFonts w:ascii="Calibri" w:hAnsi="Calibri" w:cs="Calibri"/>
                <w:color w:val="000000"/>
                <w:sz w:val="22"/>
                <w:szCs w:val="22"/>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32414D43" w14:textId="77777777" w:rsidR="00984FBA" w:rsidRDefault="00984FBA" w:rsidP="000250B5">
            <w:pPr>
              <w:spacing w:after="0" w:line="240" w:lineRule="auto"/>
              <w:jc w:val="center"/>
              <w:rPr>
                <w:rFonts w:ascii="Calibri" w:hAnsi="Calibri" w:cs="Calibri"/>
                <w:color w:val="000000"/>
                <w:sz w:val="22"/>
                <w:szCs w:val="22"/>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0E3DCBF3" w14:textId="77777777" w:rsidR="00984FBA" w:rsidRPr="00E440BE" w:rsidRDefault="00984FBA" w:rsidP="000250B5">
            <w:pPr>
              <w:spacing w:after="0" w:line="240" w:lineRule="auto"/>
              <w:jc w:val="center"/>
              <w:rPr>
                <w:rFonts w:ascii="Calibri" w:hAnsi="Calibri" w:cs="Calibri"/>
                <w:color w:val="000000"/>
                <w:sz w:val="16"/>
                <w:szCs w:val="16"/>
              </w:rPr>
            </w:pPr>
            <w:r w:rsidRPr="00E440BE">
              <w:rPr>
                <w:rFonts w:ascii="Calibri" w:hAnsi="Calibri" w:cs="Calibri"/>
                <w:color w:val="000000"/>
                <w:sz w:val="16"/>
                <w:szCs w:val="16"/>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73C5DD20" w14:textId="77777777" w:rsidR="00984FBA" w:rsidRPr="00E440BE" w:rsidRDefault="00984FBA"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hAnsi="Calibri" w:cs="Calibri"/>
                <w:color w:val="000000"/>
                <w:sz w:val="16"/>
                <w:szCs w:val="16"/>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08C10924" w14:textId="77777777" w:rsidR="00984FBA" w:rsidRPr="00E440BE" w:rsidRDefault="00984FBA" w:rsidP="000250B5">
            <w:pPr>
              <w:spacing w:after="0" w:line="240" w:lineRule="auto"/>
              <w:jc w:val="center"/>
              <w:rPr>
                <w:rFonts w:ascii="Calibri" w:hAnsi="Calibri" w:cs="Calibri"/>
                <w:color w:val="000000"/>
                <w:sz w:val="16"/>
                <w:szCs w:val="16"/>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70886EEF" w14:textId="77777777" w:rsidR="00984FBA" w:rsidRPr="00E440BE" w:rsidRDefault="00984FBA" w:rsidP="000250B5">
            <w:pPr>
              <w:spacing w:after="0" w:line="240" w:lineRule="auto"/>
              <w:jc w:val="center"/>
              <w:rPr>
                <w:rFonts w:ascii="Calibri" w:hAnsi="Calibri" w:cs="Calibri"/>
                <w:color w:val="000000"/>
                <w:sz w:val="16"/>
                <w:szCs w:val="16"/>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3D14C441" w14:textId="77777777" w:rsidR="00984FBA" w:rsidRPr="00E440BE" w:rsidRDefault="00984FBA" w:rsidP="000250B5">
            <w:pPr>
              <w:spacing w:after="0" w:line="240" w:lineRule="auto"/>
              <w:jc w:val="center"/>
              <w:rPr>
                <w:rFonts w:ascii="Calibri" w:hAnsi="Calibri" w:cs="Calibri"/>
                <w:color w:val="000000"/>
                <w:sz w:val="16"/>
                <w:szCs w:val="16"/>
              </w:rPr>
            </w:pPr>
            <w:r w:rsidRPr="00E440BE">
              <w:rPr>
                <w:rFonts w:ascii="Calibri" w:hAnsi="Calibri" w:cs="Calibri"/>
                <w:color w:val="000000"/>
                <w:sz w:val="16"/>
                <w:szCs w:val="16"/>
              </w:rPr>
              <w:t>N/A</w:t>
            </w:r>
          </w:p>
        </w:tc>
        <w:tc>
          <w:tcPr>
            <w:tcW w:w="4173" w:type="dxa"/>
            <w:tcBorders>
              <w:top w:val="single" w:sz="4" w:space="0" w:color="auto"/>
              <w:left w:val="nil"/>
              <w:bottom w:val="single" w:sz="4" w:space="0" w:color="auto"/>
              <w:right w:val="single" w:sz="4" w:space="0" w:color="auto"/>
            </w:tcBorders>
            <w:shd w:val="clear" w:color="auto" w:fill="auto"/>
            <w:vAlign w:val="center"/>
          </w:tcPr>
          <w:p w14:paraId="60B9CE00" w14:textId="77777777" w:rsidR="00984FBA" w:rsidRPr="00E440BE" w:rsidRDefault="00984FBA" w:rsidP="005E0BFE">
            <w:pPr>
              <w:spacing w:after="0" w:line="240" w:lineRule="auto"/>
              <w:jc w:val="both"/>
              <w:rPr>
                <w:rFonts w:ascii="Calibri" w:hAnsi="Calibri" w:cs="Calibri"/>
                <w:color w:val="000000"/>
                <w:sz w:val="16"/>
                <w:szCs w:val="16"/>
              </w:rPr>
            </w:pPr>
            <w:r w:rsidRPr="00E440BE">
              <w:rPr>
                <w:rFonts w:ascii="Calibri" w:hAnsi="Calibri" w:cs="Calibri"/>
                <w:color w:val="000000"/>
                <w:sz w:val="16"/>
                <w:szCs w:val="16"/>
              </w:rPr>
              <w:t xml:space="preserve">Usucapión. </w:t>
            </w:r>
            <w:r w:rsidR="005E0BFE">
              <w:rPr>
                <w:rFonts w:ascii="Calibri" w:hAnsi="Calibri" w:cs="Calibri"/>
                <w:color w:val="000000"/>
                <w:sz w:val="16"/>
                <w:szCs w:val="16"/>
              </w:rPr>
              <w:t>Sentencia final dictada el 25 de enero de 2021.</w:t>
            </w:r>
          </w:p>
        </w:tc>
      </w:tr>
      <w:tr w:rsidR="00984FBA" w:rsidRPr="003E2CFD" w14:paraId="4BFB50CB"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CFFF3C" w14:textId="77777777" w:rsidR="00984FBA" w:rsidRDefault="00984FBA" w:rsidP="000250B5">
            <w:pPr>
              <w:spacing w:after="0" w:line="240" w:lineRule="auto"/>
              <w:jc w:val="center"/>
              <w:rPr>
                <w:rFonts w:ascii="Calibri" w:hAnsi="Calibri" w:cs="Calibri"/>
                <w:color w:val="000000"/>
                <w:sz w:val="22"/>
                <w:szCs w:val="22"/>
              </w:rPr>
            </w:pPr>
            <w:r>
              <w:rPr>
                <w:rFonts w:ascii="Calibri" w:hAnsi="Calibri" w:cs="Calibri"/>
                <w:color w:val="000000"/>
                <w:sz w:val="22"/>
                <w:szCs w:val="22"/>
              </w:rPr>
              <w:t>Municipio de Mayagüez v. ELA</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717F7BC2" w14:textId="77777777" w:rsidR="00984FBA" w:rsidRDefault="00984FBA"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42BBAEF2" w14:textId="77777777" w:rsidR="00984FBA" w:rsidRDefault="00984FBA" w:rsidP="000250B5">
            <w:pPr>
              <w:spacing w:after="0" w:line="240" w:lineRule="auto"/>
              <w:jc w:val="center"/>
              <w:rPr>
                <w:rFonts w:ascii="Calibri" w:hAnsi="Calibri" w:cs="Calibri"/>
                <w:color w:val="000000"/>
                <w:sz w:val="16"/>
                <w:szCs w:val="16"/>
              </w:rPr>
            </w:pPr>
            <w:r>
              <w:rPr>
                <w:rFonts w:ascii="Calibri" w:hAnsi="Calibri" w:cs="Calibri"/>
                <w:color w:val="000000"/>
                <w:sz w:val="16"/>
                <w:szCs w:val="16"/>
              </w:rPr>
              <w:t>ISC2016-01063</w:t>
            </w: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3533624A" w14:textId="77777777" w:rsidR="00984FBA" w:rsidRDefault="00984FBA" w:rsidP="000250B5">
            <w:pPr>
              <w:spacing w:after="0" w:line="240" w:lineRule="auto"/>
              <w:jc w:val="center"/>
              <w:rPr>
                <w:rFonts w:ascii="Calibri" w:hAnsi="Calibri" w:cs="Calibri"/>
                <w:color w:val="000000"/>
                <w:sz w:val="22"/>
                <w:szCs w:val="22"/>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0F4E8BB3" w14:textId="77777777" w:rsidR="00984FBA" w:rsidRDefault="00984FBA"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3520B32" w14:textId="77777777" w:rsidR="00984FBA" w:rsidRDefault="00984FBA"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D846DB6" w14:textId="77777777" w:rsidR="00984FBA" w:rsidRDefault="00984FBA" w:rsidP="000250B5">
            <w:pPr>
              <w:spacing w:after="0" w:line="240" w:lineRule="auto"/>
              <w:jc w:val="center"/>
              <w:rPr>
                <w:rFonts w:ascii="Calibri" w:hAnsi="Calibri" w:cs="Calibri"/>
                <w:color w:val="000000"/>
                <w:sz w:val="22"/>
                <w:szCs w:val="22"/>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2C718BDA" w14:textId="77777777" w:rsidR="00984FBA" w:rsidRDefault="00984FBA" w:rsidP="000250B5">
            <w:pPr>
              <w:spacing w:after="0" w:line="240" w:lineRule="auto"/>
              <w:jc w:val="center"/>
              <w:rPr>
                <w:rFonts w:ascii="Calibri" w:hAnsi="Calibri" w:cs="Calibri"/>
                <w:color w:val="000000"/>
                <w:sz w:val="22"/>
                <w:szCs w:val="22"/>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1B0EEE88" w14:textId="77777777" w:rsidR="00984FBA" w:rsidRPr="00E440BE" w:rsidRDefault="00984FBA" w:rsidP="000250B5">
            <w:pPr>
              <w:spacing w:after="0" w:line="240" w:lineRule="auto"/>
              <w:jc w:val="center"/>
              <w:rPr>
                <w:rFonts w:ascii="Calibri" w:hAnsi="Calibri" w:cs="Calibri"/>
                <w:color w:val="000000"/>
                <w:sz w:val="16"/>
                <w:szCs w:val="16"/>
              </w:rPr>
            </w:pPr>
            <w:r w:rsidRPr="00E440BE">
              <w:rPr>
                <w:rFonts w:ascii="Calibri" w:hAnsi="Calibri" w:cs="Calibri"/>
                <w:color w:val="000000"/>
                <w:sz w:val="16"/>
                <w:szCs w:val="16"/>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26E1A40F" w14:textId="77777777" w:rsidR="00984FBA" w:rsidRPr="00E440BE" w:rsidRDefault="00984FBA"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hAnsi="Calibri" w:cs="Calibri"/>
                <w:color w:val="000000"/>
                <w:sz w:val="16"/>
                <w:szCs w:val="16"/>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395FA652" w14:textId="77777777" w:rsidR="00984FBA" w:rsidRPr="00E440BE" w:rsidRDefault="00984FBA" w:rsidP="000250B5">
            <w:pPr>
              <w:spacing w:after="0" w:line="240" w:lineRule="auto"/>
              <w:jc w:val="center"/>
              <w:rPr>
                <w:rFonts w:ascii="Calibri" w:hAnsi="Calibri" w:cs="Calibri"/>
                <w:color w:val="000000"/>
                <w:sz w:val="16"/>
                <w:szCs w:val="16"/>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257C6D95" w14:textId="77777777" w:rsidR="00984FBA" w:rsidRPr="00E440BE" w:rsidRDefault="00984FBA" w:rsidP="000250B5">
            <w:pPr>
              <w:spacing w:after="0" w:line="240" w:lineRule="auto"/>
              <w:jc w:val="center"/>
              <w:rPr>
                <w:rFonts w:ascii="Calibri" w:hAnsi="Calibri" w:cs="Calibri"/>
                <w:color w:val="000000"/>
                <w:sz w:val="16"/>
                <w:szCs w:val="16"/>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3184C625" w14:textId="77777777" w:rsidR="00984FBA" w:rsidRPr="00E440BE" w:rsidRDefault="00984FBA" w:rsidP="000250B5">
            <w:pPr>
              <w:spacing w:after="0" w:line="240" w:lineRule="auto"/>
              <w:jc w:val="center"/>
              <w:rPr>
                <w:rFonts w:ascii="Calibri" w:hAnsi="Calibri" w:cs="Calibri"/>
                <w:color w:val="000000"/>
                <w:sz w:val="16"/>
                <w:szCs w:val="16"/>
              </w:rPr>
            </w:pPr>
            <w:r w:rsidRPr="00E440BE">
              <w:rPr>
                <w:rFonts w:ascii="Calibri" w:hAnsi="Calibri" w:cs="Calibri"/>
                <w:color w:val="000000"/>
                <w:sz w:val="16"/>
                <w:szCs w:val="16"/>
              </w:rPr>
              <w:t>N/A</w:t>
            </w:r>
          </w:p>
        </w:tc>
        <w:tc>
          <w:tcPr>
            <w:tcW w:w="4173" w:type="dxa"/>
            <w:tcBorders>
              <w:top w:val="single" w:sz="4" w:space="0" w:color="auto"/>
              <w:left w:val="nil"/>
              <w:bottom w:val="single" w:sz="4" w:space="0" w:color="auto"/>
              <w:right w:val="single" w:sz="4" w:space="0" w:color="auto"/>
            </w:tcBorders>
            <w:shd w:val="clear" w:color="auto" w:fill="auto"/>
            <w:vAlign w:val="center"/>
          </w:tcPr>
          <w:p w14:paraId="4DB24B30" w14:textId="77777777" w:rsidR="00984FBA" w:rsidRPr="00E440BE" w:rsidRDefault="00984FBA" w:rsidP="000250B5">
            <w:pPr>
              <w:spacing w:after="0" w:line="240" w:lineRule="auto"/>
              <w:jc w:val="both"/>
              <w:rPr>
                <w:rFonts w:ascii="Calibri" w:hAnsi="Calibri" w:cs="Calibri"/>
                <w:color w:val="000000"/>
                <w:sz w:val="16"/>
                <w:szCs w:val="16"/>
              </w:rPr>
            </w:pPr>
            <w:r w:rsidRPr="00E440BE">
              <w:rPr>
                <w:rFonts w:ascii="Calibri" w:hAnsi="Calibri" w:cs="Calibri"/>
                <w:color w:val="000000"/>
                <w:sz w:val="16"/>
                <w:szCs w:val="16"/>
              </w:rPr>
              <w:t>Usucapión</w:t>
            </w:r>
          </w:p>
        </w:tc>
      </w:tr>
      <w:tr w:rsidR="00CE1A64" w:rsidRPr="003E2CFD" w14:paraId="622DD3DC"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576C38" w14:textId="77777777" w:rsidR="00CE1A64" w:rsidRDefault="00CE1A64" w:rsidP="000250B5">
            <w:pPr>
              <w:spacing w:after="0" w:line="240" w:lineRule="auto"/>
              <w:jc w:val="center"/>
              <w:rPr>
                <w:rFonts w:ascii="Calibri" w:hAnsi="Calibri" w:cs="Calibri"/>
                <w:color w:val="000000"/>
                <w:sz w:val="22"/>
                <w:szCs w:val="22"/>
              </w:rPr>
            </w:pPr>
            <w:r>
              <w:rPr>
                <w:rFonts w:ascii="Calibri" w:hAnsi="Calibri" w:cs="Calibri"/>
                <w:color w:val="000000"/>
                <w:sz w:val="22"/>
                <w:szCs w:val="22"/>
              </w:rPr>
              <w:lastRenderedPageBreak/>
              <w:t>Banco Popular v. AT</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4BDF461B" w14:textId="77777777" w:rsidR="00CE1A64" w:rsidRDefault="00CE1A64"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4F9168A0" w14:textId="77777777" w:rsidR="00CE1A64" w:rsidRDefault="00CE1A64" w:rsidP="000250B5">
            <w:pPr>
              <w:spacing w:after="0" w:line="240" w:lineRule="auto"/>
              <w:jc w:val="center"/>
              <w:rPr>
                <w:rFonts w:ascii="Calibri" w:hAnsi="Calibri" w:cs="Calibri"/>
                <w:color w:val="000000"/>
                <w:sz w:val="16"/>
                <w:szCs w:val="16"/>
              </w:rPr>
            </w:pPr>
            <w:r>
              <w:rPr>
                <w:rFonts w:ascii="Calibri" w:hAnsi="Calibri" w:cs="Calibri"/>
                <w:color w:val="000000"/>
                <w:sz w:val="16"/>
                <w:szCs w:val="16"/>
              </w:rPr>
              <w:t>K AC2017-0132</w:t>
            </w: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1867B4C5" w14:textId="77777777" w:rsidR="00CE1A64" w:rsidRDefault="00CE1A64" w:rsidP="000250B5">
            <w:pPr>
              <w:spacing w:after="0" w:line="240" w:lineRule="auto"/>
              <w:jc w:val="center"/>
              <w:rPr>
                <w:rFonts w:ascii="Calibri" w:hAnsi="Calibri" w:cs="Calibri"/>
                <w:color w:val="000000"/>
                <w:sz w:val="22"/>
                <w:szCs w:val="22"/>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5D8E9998" w14:textId="77777777" w:rsidR="00CE1A64" w:rsidRDefault="00CE1A64"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2A7469E" w14:textId="77777777" w:rsidR="00CE1A64" w:rsidRDefault="00CE1A64"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64CF28B" w14:textId="77777777" w:rsidR="00CE1A64" w:rsidRDefault="00CE1A64" w:rsidP="000250B5">
            <w:pPr>
              <w:spacing w:after="0" w:line="240" w:lineRule="auto"/>
              <w:jc w:val="center"/>
              <w:rPr>
                <w:rFonts w:ascii="Calibri" w:hAnsi="Calibri" w:cs="Calibri"/>
                <w:color w:val="000000"/>
                <w:sz w:val="22"/>
                <w:szCs w:val="22"/>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71017B7C" w14:textId="77777777" w:rsidR="00CE1A64" w:rsidRDefault="00CE1A64" w:rsidP="000250B5">
            <w:pPr>
              <w:spacing w:after="0" w:line="240" w:lineRule="auto"/>
              <w:jc w:val="center"/>
              <w:rPr>
                <w:rFonts w:ascii="Calibri" w:hAnsi="Calibri" w:cs="Calibri"/>
                <w:color w:val="000000"/>
                <w:sz w:val="22"/>
                <w:szCs w:val="22"/>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60EB3EB4" w14:textId="77777777" w:rsidR="00CE1A64" w:rsidRPr="00E440BE" w:rsidRDefault="00CE1A64" w:rsidP="000250B5">
            <w:pPr>
              <w:spacing w:after="0" w:line="240" w:lineRule="auto"/>
              <w:jc w:val="center"/>
              <w:rPr>
                <w:rFonts w:ascii="Calibri" w:hAnsi="Calibri" w:cs="Calibri"/>
                <w:color w:val="000000"/>
                <w:sz w:val="16"/>
                <w:szCs w:val="16"/>
              </w:rPr>
            </w:pPr>
            <w:r w:rsidRPr="00E440BE">
              <w:rPr>
                <w:rFonts w:ascii="Calibri" w:hAnsi="Calibri" w:cs="Calibri"/>
                <w:color w:val="000000"/>
                <w:sz w:val="16"/>
                <w:szCs w:val="16"/>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3BD16691" w14:textId="77777777" w:rsidR="00CE1A64" w:rsidRPr="00E440BE" w:rsidRDefault="00CE1A64" w:rsidP="000250B5">
            <w:pPr>
              <w:spacing w:after="0" w:line="240" w:lineRule="auto"/>
              <w:jc w:val="center"/>
              <w:rPr>
                <w:rFonts w:ascii="Calibri" w:eastAsia="Times New Roman" w:hAnsi="Calibri" w:cs="Calibri"/>
                <w:color w:val="000000"/>
                <w:kern w:val="0"/>
                <w:sz w:val="16"/>
                <w:szCs w:val="16"/>
                <w14:ligatures w14:val="none"/>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6B58A715" w14:textId="77777777" w:rsidR="00CE1A64" w:rsidRPr="00E440BE" w:rsidRDefault="00CE1A64" w:rsidP="000250B5">
            <w:pPr>
              <w:spacing w:after="0" w:line="240" w:lineRule="auto"/>
              <w:jc w:val="center"/>
              <w:rPr>
                <w:rFonts w:ascii="Calibri" w:hAnsi="Calibri" w:cs="Calibri"/>
                <w:color w:val="000000"/>
                <w:sz w:val="16"/>
                <w:szCs w:val="16"/>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430ECBBC" w14:textId="77777777" w:rsidR="00CE1A64" w:rsidRPr="00E440BE" w:rsidRDefault="00CE1A64" w:rsidP="000250B5">
            <w:pPr>
              <w:spacing w:after="0" w:line="240" w:lineRule="auto"/>
              <w:jc w:val="center"/>
              <w:rPr>
                <w:rFonts w:ascii="Calibri" w:hAnsi="Calibri" w:cs="Calibri"/>
                <w:color w:val="000000"/>
                <w:sz w:val="16"/>
                <w:szCs w:val="16"/>
              </w:rPr>
            </w:pPr>
            <w:r w:rsidRPr="00E440BE">
              <w:rPr>
                <w:rFonts w:ascii="Calibri" w:hAnsi="Calibri" w:cs="Calibri"/>
                <w:color w:val="000000"/>
                <w:sz w:val="16"/>
                <w:szCs w:val="16"/>
              </w:rPr>
              <w:t>x</w:t>
            </w: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29AAD5EC" w14:textId="77777777" w:rsidR="00CE1A64" w:rsidRPr="00E440BE" w:rsidRDefault="00CE1A64" w:rsidP="000250B5">
            <w:pPr>
              <w:spacing w:after="0" w:line="240" w:lineRule="auto"/>
              <w:jc w:val="center"/>
              <w:rPr>
                <w:rFonts w:ascii="Calibri" w:hAnsi="Calibri" w:cs="Calibri"/>
                <w:color w:val="000000"/>
                <w:sz w:val="16"/>
                <w:szCs w:val="16"/>
              </w:rPr>
            </w:pPr>
            <w:r w:rsidRPr="00E440BE">
              <w:rPr>
                <w:rFonts w:ascii="Calibri" w:hAnsi="Calibri" w:cs="Calibri"/>
                <w:color w:val="000000"/>
                <w:sz w:val="16"/>
                <w:szCs w:val="16"/>
              </w:rPr>
              <w:t>$123,431.48</w:t>
            </w:r>
          </w:p>
        </w:tc>
        <w:tc>
          <w:tcPr>
            <w:tcW w:w="4173" w:type="dxa"/>
            <w:tcBorders>
              <w:top w:val="single" w:sz="4" w:space="0" w:color="auto"/>
              <w:left w:val="nil"/>
              <w:bottom w:val="single" w:sz="4" w:space="0" w:color="auto"/>
              <w:right w:val="single" w:sz="4" w:space="0" w:color="auto"/>
            </w:tcBorders>
            <w:shd w:val="clear" w:color="auto" w:fill="auto"/>
            <w:vAlign w:val="center"/>
          </w:tcPr>
          <w:p w14:paraId="19DD846C" w14:textId="77777777" w:rsidR="00CE1A64" w:rsidRPr="00E440BE" w:rsidRDefault="00CE1A64" w:rsidP="000250B5">
            <w:pPr>
              <w:spacing w:after="0" w:line="240" w:lineRule="auto"/>
              <w:jc w:val="both"/>
              <w:rPr>
                <w:rFonts w:ascii="Calibri" w:hAnsi="Calibri" w:cs="Calibri"/>
                <w:color w:val="000000"/>
                <w:sz w:val="16"/>
                <w:szCs w:val="16"/>
              </w:rPr>
            </w:pPr>
            <w:r w:rsidRPr="00E440BE">
              <w:rPr>
                <w:rFonts w:ascii="Calibri" w:hAnsi="Calibri" w:cs="Calibri"/>
                <w:color w:val="000000"/>
                <w:sz w:val="16"/>
                <w:szCs w:val="16"/>
              </w:rPr>
              <w:t>Cobro de Dinero, Incumplimiento de Contrato, Daños y Perjuicios. Demandante desistió de su reclamación contra la AT.</w:t>
            </w:r>
          </w:p>
        </w:tc>
      </w:tr>
      <w:tr w:rsidR="00CE1A64" w:rsidRPr="003E2CFD" w14:paraId="535F33EE"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259AB5" w14:textId="77777777" w:rsidR="00CE1A64" w:rsidRDefault="00CE1A64" w:rsidP="000250B5">
            <w:pPr>
              <w:spacing w:after="0" w:line="240" w:lineRule="auto"/>
              <w:jc w:val="center"/>
              <w:rPr>
                <w:rFonts w:ascii="Calibri" w:hAnsi="Calibri" w:cs="Calibri"/>
                <w:color w:val="000000"/>
                <w:sz w:val="22"/>
                <w:szCs w:val="22"/>
              </w:rPr>
            </w:pPr>
            <w:r>
              <w:rPr>
                <w:rFonts w:ascii="Calibri" w:hAnsi="Calibri" w:cs="Calibri"/>
                <w:color w:val="000000"/>
                <w:sz w:val="22"/>
                <w:szCs w:val="22"/>
              </w:rPr>
              <w:t>Unión Independiente de la Administración de Terrenos v. AT</w:t>
            </w:r>
          </w:p>
          <w:p w14:paraId="24ACC7EE" w14:textId="77777777" w:rsidR="00CE1A64" w:rsidRDefault="00CE1A64" w:rsidP="000250B5">
            <w:pPr>
              <w:spacing w:after="0" w:line="240" w:lineRule="auto"/>
              <w:jc w:val="center"/>
              <w:rPr>
                <w:rFonts w:ascii="Calibri" w:hAnsi="Calibri" w:cs="Calibri"/>
                <w:color w:val="000000"/>
                <w:sz w:val="22"/>
                <w:szCs w:val="22"/>
              </w:rPr>
            </w:pP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137EB574" w14:textId="77777777" w:rsidR="00CE1A64" w:rsidRDefault="00CE1A64" w:rsidP="000250B5">
            <w:pPr>
              <w:spacing w:after="0" w:line="240" w:lineRule="auto"/>
              <w:jc w:val="center"/>
              <w:rPr>
                <w:rFonts w:ascii="Calibri" w:hAnsi="Calibri" w:cs="Calibri"/>
                <w:color w:val="000000"/>
                <w:sz w:val="22"/>
                <w:szCs w:val="22"/>
              </w:rPr>
            </w:pPr>
            <w:r>
              <w:rPr>
                <w:rFonts w:ascii="Calibri" w:hAnsi="Calibri" w:cs="Calibri"/>
                <w:color w:val="000000"/>
                <w:sz w:val="16"/>
                <w:szCs w:val="16"/>
              </w:rPr>
              <w:t>CA-2017-39</w:t>
            </w:r>
          </w:p>
        </w:tc>
        <w:tc>
          <w:tcPr>
            <w:tcW w:w="1350" w:type="dxa"/>
            <w:tcBorders>
              <w:top w:val="single" w:sz="4" w:space="0" w:color="auto"/>
              <w:left w:val="nil"/>
              <w:bottom w:val="single" w:sz="4" w:space="0" w:color="auto"/>
              <w:right w:val="single" w:sz="4" w:space="0" w:color="auto"/>
            </w:tcBorders>
            <w:shd w:val="clear" w:color="auto" w:fill="auto"/>
            <w:vAlign w:val="center"/>
          </w:tcPr>
          <w:p w14:paraId="7F03DB42" w14:textId="77777777" w:rsidR="00CE1A64" w:rsidRDefault="00CE1A64" w:rsidP="000250B5">
            <w:pPr>
              <w:spacing w:after="0" w:line="240" w:lineRule="auto"/>
              <w:jc w:val="center"/>
              <w:rPr>
                <w:rFonts w:ascii="Calibri" w:hAnsi="Calibri" w:cs="Calibri"/>
                <w:color w:val="000000"/>
                <w:sz w:val="16"/>
                <w:szCs w:val="16"/>
              </w:rPr>
            </w:pP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51FF750D" w14:textId="77777777" w:rsidR="00CE1A64" w:rsidRDefault="00CE1A64" w:rsidP="000250B5">
            <w:pPr>
              <w:spacing w:after="0" w:line="240" w:lineRule="auto"/>
              <w:jc w:val="center"/>
              <w:rPr>
                <w:rFonts w:ascii="Calibri" w:hAnsi="Calibri" w:cs="Calibri"/>
                <w:color w:val="000000"/>
                <w:sz w:val="22"/>
                <w:szCs w:val="22"/>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503A5A26" w14:textId="77777777" w:rsidR="00CE1A64" w:rsidRDefault="00CE1A64"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9A14941" w14:textId="77777777" w:rsidR="00CE1A64" w:rsidRDefault="00CE1A64"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B844091" w14:textId="77777777" w:rsidR="00CE1A64" w:rsidRDefault="00CE1A64" w:rsidP="000250B5">
            <w:pPr>
              <w:spacing w:after="0" w:line="240" w:lineRule="auto"/>
              <w:jc w:val="center"/>
              <w:rPr>
                <w:rFonts w:ascii="Calibri" w:hAnsi="Calibri" w:cs="Calibri"/>
                <w:color w:val="000000"/>
                <w:sz w:val="22"/>
                <w:szCs w:val="22"/>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4BADE17A" w14:textId="77777777" w:rsidR="00CE1A64" w:rsidRDefault="00CE1A64" w:rsidP="000250B5">
            <w:pPr>
              <w:spacing w:after="0" w:line="240" w:lineRule="auto"/>
              <w:jc w:val="center"/>
              <w:rPr>
                <w:rFonts w:ascii="Calibri" w:hAnsi="Calibri" w:cs="Calibri"/>
                <w:color w:val="000000"/>
                <w:sz w:val="22"/>
                <w:szCs w:val="22"/>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68AFE740" w14:textId="77777777" w:rsidR="00CE1A64" w:rsidRPr="00E440BE" w:rsidRDefault="00CE1A64" w:rsidP="000250B5">
            <w:pPr>
              <w:spacing w:after="0" w:line="240" w:lineRule="auto"/>
              <w:jc w:val="center"/>
              <w:rPr>
                <w:rFonts w:ascii="Calibri" w:hAnsi="Calibri" w:cs="Calibri"/>
                <w:color w:val="000000"/>
                <w:sz w:val="16"/>
                <w:szCs w:val="16"/>
              </w:rPr>
            </w:pPr>
            <w:r w:rsidRPr="00E440BE">
              <w:rPr>
                <w:rFonts w:ascii="Calibri" w:hAnsi="Calibri" w:cs="Calibri"/>
                <w:color w:val="000000"/>
                <w:sz w:val="16"/>
                <w:szCs w:val="16"/>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3F476B99" w14:textId="77777777" w:rsidR="00CE1A64" w:rsidRPr="00E440BE" w:rsidRDefault="00CE1A64" w:rsidP="000250B5">
            <w:pPr>
              <w:spacing w:after="0" w:line="240" w:lineRule="auto"/>
              <w:jc w:val="center"/>
              <w:rPr>
                <w:rFonts w:ascii="Calibri" w:eastAsia="Times New Roman" w:hAnsi="Calibri" w:cs="Calibri"/>
                <w:color w:val="000000"/>
                <w:kern w:val="0"/>
                <w:sz w:val="16"/>
                <w:szCs w:val="16"/>
                <w14:ligatures w14:val="none"/>
              </w:rPr>
            </w:pPr>
            <w:r w:rsidRPr="00E440BE">
              <w:rPr>
                <w:rFonts w:ascii="Calibri" w:hAnsi="Calibri" w:cs="Calibri"/>
                <w:color w:val="000000"/>
                <w:sz w:val="16"/>
                <w:szCs w:val="16"/>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31F7B542" w14:textId="77777777" w:rsidR="00CE1A64" w:rsidRPr="00E440BE" w:rsidRDefault="00CE1A64" w:rsidP="000250B5">
            <w:pPr>
              <w:spacing w:after="0" w:line="240" w:lineRule="auto"/>
              <w:jc w:val="center"/>
              <w:rPr>
                <w:rFonts w:ascii="Calibri" w:hAnsi="Calibri" w:cs="Calibri"/>
                <w:color w:val="000000"/>
                <w:sz w:val="16"/>
                <w:szCs w:val="16"/>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06F1754E" w14:textId="77777777" w:rsidR="00CE1A64" w:rsidRPr="00E440BE" w:rsidRDefault="00CE1A64" w:rsidP="000250B5">
            <w:pPr>
              <w:spacing w:after="0" w:line="240" w:lineRule="auto"/>
              <w:jc w:val="center"/>
              <w:rPr>
                <w:rFonts w:ascii="Calibri" w:hAnsi="Calibri" w:cs="Calibri"/>
                <w:color w:val="000000"/>
                <w:sz w:val="16"/>
                <w:szCs w:val="16"/>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782DDA05" w14:textId="77777777" w:rsidR="00CE1A64" w:rsidRPr="00E440BE" w:rsidRDefault="00CE1A64" w:rsidP="000250B5">
            <w:pPr>
              <w:spacing w:after="0" w:line="240" w:lineRule="auto"/>
              <w:jc w:val="center"/>
              <w:rPr>
                <w:rFonts w:ascii="Calibri" w:hAnsi="Calibri" w:cs="Calibri"/>
                <w:color w:val="000000"/>
                <w:sz w:val="16"/>
                <w:szCs w:val="16"/>
              </w:rPr>
            </w:pPr>
            <w:r w:rsidRPr="00E440BE">
              <w:rPr>
                <w:rFonts w:ascii="Calibri" w:hAnsi="Calibri" w:cs="Calibri"/>
                <w:color w:val="000000"/>
                <w:sz w:val="16"/>
                <w:szCs w:val="16"/>
              </w:rPr>
              <w:t>N/A</w:t>
            </w:r>
          </w:p>
        </w:tc>
        <w:tc>
          <w:tcPr>
            <w:tcW w:w="4173" w:type="dxa"/>
            <w:tcBorders>
              <w:top w:val="single" w:sz="4" w:space="0" w:color="auto"/>
              <w:left w:val="nil"/>
              <w:bottom w:val="single" w:sz="4" w:space="0" w:color="auto"/>
              <w:right w:val="single" w:sz="4" w:space="0" w:color="auto"/>
            </w:tcBorders>
            <w:shd w:val="clear" w:color="auto" w:fill="auto"/>
            <w:vAlign w:val="center"/>
          </w:tcPr>
          <w:p w14:paraId="1211E3DC" w14:textId="77777777" w:rsidR="00CE1A64" w:rsidRPr="00E440BE" w:rsidRDefault="00CE1A64" w:rsidP="000250B5">
            <w:pPr>
              <w:spacing w:after="0" w:line="240" w:lineRule="auto"/>
              <w:jc w:val="both"/>
              <w:rPr>
                <w:rFonts w:ascii="Calibri" w:hAnsi="Calibri" w:cs="Calibri"/>
                <w:color w:val="000000"/>
                <w:sz w:val="16"/>
                <w:szCs w:val="16"/>
              </w:rPr>
            </w:pPr>
            <w:r w:rsidRPr="00E440BE">
              <w:rPr>
                <w:rFonts w:ascii="Calibri" w:hAnsi="Calibri" w:cs="Calibri"/>
                <w:color w:val="000000"/>
                <w:sz w:val="16"/>
                <w:szCs w:val="16"/>
              </w:rPr>
              <w:t>Cargo de Práctica Ilícita- Junta de Relaciones del Trabajo de PR (Uso de Licencia Sindical).  La unión retiró el cargo.  En espera de reacción por parte de la Junta.</w:t>
            </w:r>
          </w:p>
        </w:tc>
      </w:tr>
      <w:tr w:rsidR="00CE1A64" w:rsidRPr="003E2CFD" w14:paraId="7EAC6732"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581678" w14:textId="77777777" w:rsidR="00CE1A64" w:rsidRDefault="00CE1A64" w:rsidP="000250B5">
            <w:pPr>
              <w:spacing w:after="0" w:line="240" w:lineRule="auto"/>
              <w:jc w:val="center"/>
              <w:rPr>
                <w:rFonts w:ascii="Calibri" w:hAnsi="Calibri" w:cs="Calibri"/>
                <w:color w:val="000000"/>
                <w:sz w:val="22"/>
                <w:szCs w:val="22"/>
              </w:rPr>
            </w:pPr>
            <w:r>
              <w:rPr>
                <w:rFonts w:ascii="Calibri" w:hAnsi="Calibri" w:cs="Calibri"/>
                <w:color w:val="000000"/>
                <w:sz w:val="22"/>
                <w:szCs w:val="22"/>
              </w:rPr>
              <w:t xml:space="preserve">Unión Independiente de la </w:t>
            </w:r>
            <w:r w:rsidR="00045A02">
              <w:rPr>
                <w:rFonts w:ascii="Calibri" w:hAnsi="Calibri" w:cs="Calibri"/>
                <w:color w:val="000000"/>
                <w:sz w:val="22"/>
                <w:szCs w:val="22"/>
              </w:rPr>
              <w:t>A</w:t>
            </w:r>
            <w:r>
              <w:rPr>
                <w:rFonts w:ascii="Calibri" w:hAnsi="Calibri" w:cs="Calibri"/>
                <w:color w:val="000000"/>
                <w:sz w:val="22"/>
                <w:szCs w:val="22"/>
              </w:rPr>
              <w:t>dministración de Terrenos v. AT</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7C62A75F" w14:textId="77777777" w:rsidR="00CE1A64" w:rsidRDefault="00CE1A64" w:rsidP="000250B5">
            <w:pPr>
              <w:spacing w:after="0" w:line="240" w:lineRule="auto"/>
              <w:jc w:val="center"/>
              <w:rPr>
                <w:rFonts w:ascii="Calibri" w:hAnsi="Calibri" w:cs="Calibri"/>
                <w:color w:val="000000"/>
                <w:sz w:val="22"/>
                <w:szCs w:val="22"/>
              </w:rPr>
            </w:pPr>
            <w:r>
              <w:rPr>
                <w:rFonts w:ascii="Calibri" w:hAnsi="Calibri" w:cs="Calibri"/>
                <w:color w:val="000000"/>
                <w:sz w:val="16"/>
                <w:szCs w:val="16"/>
              </w:rPr>
              <w:t>A-14-2846</w:t>
            </w:r>
          </w:p>
        </w:tc>
        <w:tc>
          <w:tcPr>
            <w:tcW w:w="1350" w:type="dxa"/>
            <w:tcBorders>
              <w:top w:val="single" w:sz="4" w:space="0" w:color="auto"/>
              <w:left w:val="nil"/>
              <w:bottom w:val="single" w:sz="4" w:space="0" w:color="auto"/>
              <w:right w:val="single" w:sz="4" w:space="0" w:color="auto"/>
            </w:tcBorders>
            <w:shd w:val="clear" w:color="auto" w:fill="auto"/>
            <w:vAlign w:val="center"/>
          </w:tcPr>
          <w:p w14:paraId="6FBBE709" w14:textId="77777777" w:rsidR="00CE1A64" w:rsidRDefault="00CE1A64" w:rsidP="000250B5">
            <w:pPr>
              <w:spacing w:after="0" w:line="240" w:lineRule="auto"/>
              <w:jc w:val="center"/>
              <w:rPr>
                <w:rFonts w:ascii="Calibri" w:hAnsi="Calibri" w:cs="Calibri"/>
                <w:color w:val="000000"/>
                <w:sz w:val="16"/>
                <w:szCs w:val="16"/>
              </w:rPr>
            </w:pP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169B4A52" w14:textId="77777777" w:rsidR="00CE1A64" w:rsidRDefault="00CE1A64" w:rsidP="000250B5">
            <w:pPr>
              <w:spacing w:after="0" w:line="240" w:lineRule="auto"/>
              <w:jc w:val="center"/>
              <w:rPr>
                <w:rFonts w:ascii="Calibri" w:hAnsi="Calibri" w:cs="Calibri"/>
                <w:color w:val="000000"/>
                <w:sz w:val="22"/>
                <w:szCs w:val="22"/>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5E7EDD9D" w14:textId="77777777" w:rsidR="00CE1A64" w:rsidRDefault="00CE1A64"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408C838" w14:textId="77777777" w:rsidR="00CE1A64" w:rsidRDefault="00CE1A64"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FF5F3AC" w14:textId="77777777" w:rsidR="00CE1A64" w:rsidRDefault="00CE1A64" w:rsidP="000250B5">
            <w:pPr>
              <w:spacing w:after="0" w:line="240" w:lineRule="auto"/>
              <w:jc w:val="center"/>
              <w:rPr>
                <w:rFonts w:ascii="Calibri" w:hAnsi="Calibri" w:cs="Calibri"/>
                <w:color w:val="000000"/>
                <w:sz w:val="22"/>
                <w:szCs w:val="22"/>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3991D378" w14:textId="77777777" w:rsidR="00CE1A64" w:rsidRDefault="00CE1A64" w:rsidP="000250B5">
            <w:pPr>
              <w:spacing w:after="0" w:line="240" w:lineRule="auto"/>
              <w:jc w:val="center"/>
              <w:rPr>
                <w:rFonts w:ascii="Calibri" w:hAnsi="Calibri" w:cs="Calibri"/>
                <w:color w:val="000000"/>
                <w:sz w:val="22"/>
                <w:szCs w:val="22"/>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2A6A6F19" w14:textId="77777777" w:rsidR="00CE1A64" w:rsidRPr="00E440BE" w:rsidRDefault="00CE1A64" w:rsidP="000250B5">
            <w:pPr>
              <w:spacing w:after="0" w:line="240" w:lineRule="auto"/>
              <w:jc w:val="center"/>
              <w:rPr>
                <w:rFonts w:ascii="Calibri" w:hAnsi="Calibri" w:cs="Calibri"/>
                <w:color w:val="000000"/>
                <w:sz w:val="16"/>
                <w:szCs w:val="16"/>
              </w:rPr>
            </w:pPr>
            <w:r w:rsidRPr="00E440BE">
              <w:rPr>
                <w:rFonts w:ascii="Calibri" w:hAnsi="Calibri" w:cs="Calibri"/>
                <w:color w:val="000000"/>
                <w:sz w:val="16"/>
                <w:szCs w:val="16"/>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5034D704" w14:textId="77777777" w:rsidR="00CE1A64" w:rsidRPr="00E440BE" w:rsidRDefault="00CE1A64" w:rsidP="000250B5">
            <w:pPr>
              <w:spacing w:after="0" w:line="240" w:lineRule="auto"/>
              <w:jc w:val="center"/>
              <w:rPr>
                <w:rFonts w:ascii="Calibri" w:eastAsia="Times New Roman" w:hAnsi="Calibri" w:cs="Calibri"/>
                <w:color w:val="000000"/>
                <w:kern w:val="0"/>
                <w:sz w:val="16"/>
                <w:szCs w:val="16"/>
                <w14:ligatures w14:val="none"/>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1629927E" w14:textId="77777777" w:rsidR="00CE1A64" w:rsidRPr="00E440BE" w:rsidRDefault="00CE1A64" w:rsidP="000250B5">
            <w:pPr>
              <w:spacing w:after="0" w:line="240" w:lineRule="auto"/>
              <w:jc w:val="center"/>
              <w:rPr>
                <w:rFonts w:ascii="Calibri" w:hAnsi="Calibri" w:cs="Calibri"/>
                <w:color w:val="000000"/>
                <w:sz w:val="16"/>
                <w:szCs w:val="16"/>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53E59DAD" w14:textId="77777777" w:rsidR="00CE1A64" w:rsidRPr="00E440BE" w:rsidRDefault="00CE1A64" w:rsidP="000250B5">
            <w:pPr>
              <w:spacing w:after="0" w:line="240" w:lineRule="auto"/>
              <w:jc w:val="center"/>
              <w:rPr>
                <w:rFonts w:ascii="Calibri" w:hAnsi="Calibri" w:cs="Calibri"/>
                <w:color w:val="000000"/>
                <w:sz w:val="16"/>
                <w:szCs w:val="16"/>
              </w:rPr>
            </w:pPr>
            <w:r w:rsidRPr="00E440BE">
              <w:rPr>
                <w:rFonts w:ascii="Calibri" w:hAnsi="Calibri" w:cs="Calibri"/>
                <w:color w:val="000000"/>
                <w:sz w:val="16"/>
                <w:szCs w:val="16"/>
              </w:rPr>
              <w:t>x</w:t>
            </w: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2ADECEA4" w14:textId="77777777" w:rsidR="00CE1A64" w:rsidRPr="00E440BE" w:rsidRDefault="00CE1A64" w:rsidP="000250B5">
            <w:pPr>
              <w:spacing w:after="0" w:line="240" w:lineRule="auto"/>
              <w:jc w:val="center"/>
              <w:rPr>
                <w:rFonts w:ascii="Calibri" w:hAnsi="Calibri" w:cs="Calibri"/>
                <w:color w:val="000000"/>
                <w:sz w:val="16"/>
                <w:szCs w:val="16"/>
              </w:rPr>
            </w:pPr>
            <w:r w:rsidRPr="00E440BE">
              <w:rPr>
                <w:rFonts w:ascii="Calibri" w:hAnsi="Calibri" w:cs="Calibri"/>
                <w:color w:val="000000"/>
                <w:sz w:val="16"/>
                <w:szCs w:val="16"/>
              </w:rPr>
              <w:t>N/A</w:t>
            </w:r>
          </w:p>
        </w:tc>
        <w:tc>
          <w:tcPr>
            <w:tcW w:w="4173" w:type="dxa"/>
            <w:tcBorders>
              <w:top w:val="single" w:sz="4" w:space="0" w:color="auto"/>
              <w:left w:val="nil"/>
              <w:bottom w:val="single" w:sz="4" w:space="0" w:color="auto"/>
              <w:right w:val="single" w:sz="4" w:space="0" w:color="auto"/>
            </w:tcBorders>
            <w:shd w:val="clear" w:color="auto" w:fill="auto"/>
            <w:vAlign w:val="center"/>
          </w:tcPr>
          <w:p w14:paraId="40AA266C" w14:textId="77777777" w:rsidR="00CE1A64" w:rsidRPr="00E440BE" w:rsidRDefault="00CE1A64" w:rsidP="000250B5">
            <w:pPr>
              <w:spacing w:after="0" w:line="240" w:lineRule="auto"/>
              <w:jc w:val="both"/>
              <w:rPr>
                <w:rFonts w:ascii="Calibri" w:hAnsi="Calibri" w:cs="Calibri"/>
                <w:color w:val="000000"/>
                <w:sz w:val="16"/>
                <w:szCs w:val="16"/>
              </w:rPr>
            </w:pPr>
            <w:r w:rsidRPr="00E440BE">
              <w:rPr>
                <w:rFonts w:ascii="Calibri" w:hAnsi="Calibri" w:cs="Calibri"/>
                <w:color w:val="000000"/>
                <w:sz w:val="16"/>
                <w:szCs w:val="16"/>
              </w:rPr>
              <w:t>Negociado de Conciliación y Arbitraje del Departamento del Trabajo (Publicación y Adjudicación de Puesto Contador II). La Unión retiró el caso de arbitraje y se decretó el cierre con perjuicio.</w:t>
            </w:r>
          </w:p>
          <w:p w14:paraId="5A90C397" w14:textId="77777777" w:rsidR="00CE1A64" w:rsidRPr="00E440BE" w:rsidRDefault="00CE1A64" w:rsidP="000250B5">
            <w:pPr>
              <w:spacing w:after="0" w:line="240" w:lineRule="auto"/>
              <w:jc w:val="both"/>
              <w:rPr>
                <w:rFonts w:ascii="Calibri" w:hAnsi="Calibri" w:cs="Calibri"/>
                <w:color w:val="000000"/>
                <w:sz w:val="16"/>
                <w:szCs w:val="16"/>
              </w:rPr>
            </w:pPr>
          </w:p>
        </w:tc>
      </w:tr>
      <w:tr w:rsidR="00CE1A64" w:rsidRPr="003E2CFD" w14:paraId="54CC38B3"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FFE638" w14:textId="77777777" w:rsidR="00CE1A64" w:rsidRDefault="00CE1A64" w:rsidP="000250B5">
            <w:pPr>
              <w:spacing w:after="0" w:line="240" w:lineRule="auto"/>
              <w:jc w:val="center"/>
              <w:rPr>
                <w:rFonts w:ascii="Calibri" w:hAnsi="Calibri" w:cs="Calibri"/>
                <w:color w:val="000000"/>
                <w:sz w:val="22"/>
                <w:szCs w:val="22"/>
              </w:rPr>
            </w:pPr>
            <w:r>
              <w:rPr>
                <w:rFonts w:ascii="Calibri" w:hAnsi="Calibri" w:cs="Calibri"/>
                <w:color w:val="000000"/>
                <w:sz w:val="22"/>
                <w:szCs w:val="22"/>
              </w:rPr>
              <w:t xml:space="preserve">Unión Independiente de la </w:t>
            </w:r>
            <w:r w:rsidR="00045A02">
              <w:rPr>
                <w:rFonts w:ascii="Calibri" w:hAnsi="Calibri" w:cs="Calibri"/>
                <w:color w:val="000000"/>
                <w:sz w:val="22"/>
                <w:szCs w:val="22"/>
              </w:rPr>
              <w:t>A</w:t>
            </w:r>
            <w:r>
              <w:rPr>
                <w:rFonts w:ascii="Calibri" w:hAnsi="Calibri" w:cs="Calibri"/>
                <w:color w:val="000000"/>
                <w:sz w:val="22"/>
                <w:szCs w:val="22"/>
              </w:rPr>
              <w:t>dministración de Terrenos v. AT</w:t>
            </w:r>
          </w:p>
          <w:p w14:paraId="122FD254" w14:textId="77777777" w:rsidR="00CE1A64" w:rsidRDefault="00CE1A64" w:rsidP="000250B5">
            <w:pPr>
              <w:spacing w:after="0" w:line="240" w:lineRule="auto"/>
              <w:jc w:val="center"/>
              <w:rPr>
                <w:rFonts w:ascii="Calibri" w:hAnsi="Calibri" w:cs="Calibri"/>
                <w:color w:val="000000"/>
                <w:sz w:val="22"/>
                <w:szCs w:val="22"/>
              </w:rPr>
            </w:pP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4FA4AE24" w14:textId="77777777" w:rsidR="00CE1A64" w:rsidRDefault="00CE1A64" w:rsidP="000250B5">
            <w:pPr>
              <w:spacing w:after="0" w:line="240" w:lineRule="auto"/>
              <w:jc w:val="center"/>
              <w:rPr>
                <w:rFonts w:ascii="Calibri" w:hAnsi="Calibri" w:cs="Calibri"/>
                <w:color w:val="000000"/>
                <w:sz w:val="22"/>
                <w:szCs w:val="22"/>
              </w:rPr>
            </w:pPr>
            <w:r>
              <w:rPr>
                <w:rFonts w:ascii="Calibri" w:hAnsi="Calibri" w:cs="Calibri"/>
                <w:color w:val="000000"/>
                <w:sz w:val="16"/>
                <w:szCs w:val="16"/>
              </w:rPr>
              <w:t>A-14-2843</w:t>
            </w:r>
          </w:p>
        </w:tc>
        <w:tc>
          <w:tcPr>
            <w:tcW w:w="1350" w:type="dxa"/>
            <w:tcBorders>
              <w:top w:val="single" w:sz="4" w:space="0" w:color="auto"/>
              <w:left w:val="nil"/>
              <w:bottom w:val="single" w:sz="4" w:space="0" w:color="auto"/>
              <w:right w:val="single" w:sz="4" w:space="0" w:color="auto"/>
            </w:tcBorders>
            <w:shd w:val="clear" w:color="auto" w:fill="auto"/>
            <w:vAlign w:val="center"/>
          </w:tcPr>
          <w:p w14:paraId="7BB97BCF" w14:textId="77777777" w:rsidR="00CE1A64" w:rsidRDefault="00CE1A64" w:rsidP="000250B5">
            <w:pPr>
              <w:spacing w:after="0" w:line="240" w:lineRule="auto"/>
              <w:jc w:val="center"/>
              <w:rPr>
                <w:rFonts w:ascii="Calibri" w:hAnsi="Calibri" w:cs="Calibri"/>
                <w:color w:val="000000"/>
                <w:sz w:val="16"/>
                <w:szCs w:val="16"/>
              </w:rPr>
            </w:pP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15CFA126" w14:textId="77777777" w:rsidR="00CE1A64" w:rsidRDefault="00CE1A64" w:rsidP="000250B5">
            <w:pPr>
              <w:spacing w:after="0" w:line="240" w:lineRule="auto"/>
              <w:jc w:val="center"/>
              <w:rPr>
                <w:rFonts w:ascii="Calibri" w:hAnsi="Calibri" w:cs="Calibri"/>
                <w:color w:val="000000"/>
                <w:sz w:val="22"/>
                <w:szCs w:val="22"/>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5965E653" w14:textId="77777777" w:rsidR="00CE1A64" w:rsidRDefault="00CE1A64"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541EED8" w14:textId="77777777" w:rsidR="00CE1A64" w:rsidRDefault="00CE1A64"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D74B580" w14:textId="77777777" w:rsidR="00CE1A64" w:rsidRDefault="00CE1A64" w:rsidP="000250B5">
            <w:pPr>
              <w:spacing w:after="0" w:line="240" w:lineRule="auto"/>
              <w:jc w:val="center"/>
              <w:rPr>
                <w:rFonts w:ascii="Calibri" w:hAnsi="Calibri" w:cs="Calibri"/>
                <w:color w:val="000000"/>
                <w:sz w:val="22"/>
                <w:szCs w:val="22"/>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4163D1F5" w14:textId="77777777" w:rsidR="00CE1A64" w:rsidRDefault="00CE1A64" w:rsidP="000250B5">
            <w:pPr>
              <w:spacing w:after="0" w:line="240" w:lineRule="auto"/>
              <w:jc w:val="center"/>
              <w:rPr>
                <w:rFonts w:ascii="Calibri" w:hAnsi="Calibri" w:cs="Calibri"/>
                <w:color w:val="000000"/>
                <w:sz w:val="22"/>
                <w:szCs w:val="22"/>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2D7A7168" w14:textId="77777777" w:rsidR="00CE1A64" w:rsidRPr="00E440BE" w:rsidRDefault="00CE1A64" w:rsidP="000250B5">
            <w:pPr>
              <w:spacing w:after="0" w:line="240" w:lineRule="auto"/>
              <w:jc w:val="center"/>
              <w:rPr>
                <w:rFonts w:ascii="Calibri" w:hAnsi="Calibri" w:cs="Calibri"/>
                <w:color w:val="000000"/>
                <w:sz w:val="16"/>
                <w:szCs w:val="16"/>
              </w:rPr>
            </w:pPr>
            <w:r w:rsidRPr="00E440BE">
              <w:rPr>
                <w:rFonts w:ascii="Calibri" w:hAnsi="Calibri" w:cs="Calibri"/>
                <w:color w:val="000000"/>
                <w:sz w:val="16"/>
                <w:szCs w:val="16"/>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4D5D6E9C" w14:textId="77777777" w:rsidR="00CE1A64" w:rsidRPr="00E440BE" w:rsidRDefault="005C4726" w:rsidP="000250B5">
            <w:pPr>
              <w:spacing w:after="0" w:line="240" w:lineRule="auto"/>
              <w:jc w:val="center"/>
              <w:rPr>
                <w:rFonts w:ascii="Calibri" w:eastAsia="Times New Roman" w:hAnsi="Calibri" w:cs="Calibri"/>
                <w:color w:val="000000"/>
                <w:kern w:val="0"/>
                <w:sz w:val="16"/>
                <w:szCs w:val="16"/>
                <w14:ligatures w14:val="none"/>
              </w:rPr>
            </w:pPr>
            <w:r>
              <w:rPr>
                <w:rFonts w:ascii="Calibri" w:hAnsi="Calibri" w:cs="Calibri"/>
                <w:color w:val="000000"/>
                <w:sz w:val="16"/>
                <w:szCs w:val="16"/>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1469299F" w14:textId="77777777" w:rsidR="00CE1A64" w:rsidRPr="00E440BE" w:rsidRDefault="00CE1A64" w:rsidP="000250B5">
            <w:pPr>
              <w:spacing w:after="0" w:line="240" w:lineRule="auto"/>
              <w:jc w:val="center"/>
              <w:rPr>
                <w:rFonts w:ascii="Calibri" w:hAnsi="Calibri" w:cs="Calibri"/>
                <w:color w:val="000000"/>
                <w:sz w:val="16"/>
                <w:szCs w:val="16"/>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216E6F29" w14:textId="77777777" w:rsidR="00CE1A64" w:rsidRPr="00E440BE" w:rsidRDefault="00CE1A64" w:rsidP="000250B5">
            <w:pPr>
              <w:spacing w:after="0" w:line="240" w:lineRule="auto"/>
              <w:jc w:val="center"/>
              <w:rPr>
                <w:rFonts w:ascii="Calibri" w:hAnsi="Calibri" w:cs="Calibri"/>
                <w:color w:val="000000"/>
                <w:sz w:val="16"/>
                <w:szCs w:val="16"/>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24AB4CCA" w14:textId="77777777" w:rsidR="00CE1A64" w:rsidRPr="00E440BE" w:rsidRDefault="00CE1A64" w:rsidP="000250B5">
            <w:pPr>
              <w:spacing w:after="0" w:line="240" w:lineRule="auto"/>
              <w:jc w:val="center"/>
              <w:rPr>
                <w:rFonts w:ascii="Calibri" w:hAnsi="Calibri" w:cs="Calibri"/>
                <w:color w:val="000000"/>
                <w:sz w:val="16"/>
                <w:szCs w:val="16"/>
              </w:rPr>
            </w:pPr>
            <w:r w:rsidRPr="00E440BE">
              <w:rPr>
                <w:rFonts w:ascii="Calibri" w:hAnsi="Calibri" w:cs="Calibri"/>
                <w:color w:val="000000"/>
                <w:sz w:val="16"/>
                <w:szCs w:val="16"/>
              </w:rPr>
              <w:t>N/A</w:t>
            </w:r>
          </w:p>
        </w:tc>
        <w:tc>
          <w:tcPr>
            <w:tcW w:w="4173" w:type="dxa"/>
            <w:tcBorders>
              <w:top w:val="single" w:sz="4" w:space="0" w:color="auto"/>
              <w:left w:val="nil"/>
              <w:bottom w:val="single" w:sz="4" w:space="0" w:color="auto"/>
              <w:right w:val="single" w:sz="4" w:space="0" w:color="auto"/>
            </w:tcBorders>
            <w:shd w:val="clear" w:color="auto" w:fill="auto"/>
            <w:vAlign w:val="center"/>
          </w:tcPr>
          <w:p w14:paraId="5AADB381" w14:textId="77777777" w:rsidR="00CE1A64" w:rsidRPr="00E440BE" w:rsidRDefault="00CE1A64" w:rsidP="000250B5">
            <w:pPr>
              <w:spacing w:after="0" w:line="240" w:lineRule="auto"/>
              <w:jc w:val="both"/>
              <w:rPr>
                <w:rFonts w:ascii="Calibri" w:hAnsi="Calibri" w:cs="Calibri"/>
                <w:color w:val="000000"/>
                <w:sz w:val="16"/>
                <w:szCs w:val="16"/>
              </w:rPr>
            </w:pPr>
            <w:r w:rsidRPr="00E440BE">
              <w:rPr>
                <w:rFonts w:ascii="Calibri" w:hAnsi="Calibri" w:cs="Calibri"/>
                <w:color w:val="000000"/>
                <w:sz w:val="16"/>
                <w:szCs w:val="16"/>
              </w:rPr>
              <w:t>Negociado de Conciliación y Arbitraje del Departamento del Trabajo. (Invasión de Unidad Apropiada - Secretaria Administrativa) La unión desistió del caso y solicitó el retiro del caso y se decretó el cierre con perjuicio.</w:t>
            </w:r>
          </w:p>
        </w:tc>
      </w:tr>
      <w:tr w:rsidR="00045A02" w:rsidRPr="003E2CFD" w14:paraId="405A75D6"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A806E4" w14:textId="77777777" w:rsidR="00045A02" w:rsidRDefault="00045A02" w:rsidP="000250B5">
            <w:pPr>
              <w:spacing w:after="0" w:line="240" w:lineRule="auto"/>
              <w:jc w:val="center"/>
              <w:rPr>
                <w:rFonts w:ascii="Calibri" w:hAnsi="Calibri" w:cs="Calibri"/>
                <w:color w:val="000000"/>
                <w:sz w:val="22"/>
                <w:szCs w:val="22"/>
              </w:rPr>
            </w:pPr>
            <w:r>
              <w:rPr>
                <w:rFonts w:ascii="Calibri" w:hAnsi="Calibri" w:cs="Calibri"/>
                <w:color w:val="000000"/>
                <w:sz w:val="22"/>
                <w:szCs w:val="22"/>
              </w:rPr>
              <w:t>Unión Independiente de la Administración de Terrenos v. AT</w:t>
            </w:r>
          </w:p>
          <w:p w14:paraId="7E1D26D3" w14:textId="77777777" w:rsidR="00045A02" w:rsidRDefault="00045A02" w:rsidP="000250B5">
            <w:pPr>
              <w:spacing w:after="0" w:line="240" w:lineRule="auto"/>
              <w:jc w:val="center"/>
              <w:rPr>
                <w:rFonts w:ascii="Calibri" w:hAnsi="Calibri" w:cs="Calibri"/>
                <w:color w:val="000000"/>
                <w:sz w:val="22"/>
                <w:szCs w:val="22"/>
              </w:rPr>
            </w:pP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3F67703A" w14:textId="77777777" w:rsidR="00045A02" w:rsidRDefault="00045A02" w:rsidP="000250B5">
            <w:pPr>
              <w:spacing w:after="0" w:line="240" w:lineRule="auto"/>
              <w:jc w:val="center"/>
              <w:rPr>
                <w:rFonts w:ascii="Calibri" w:hAnsi="Calibri" w:cs="Calibri"/>
                <w:color w:val="000000"/>
                <w:sz w:val="22"/>
                <w:szCs w:val="22"/>
              </w:rPr>
            </w:pPr>
            <w:r>
              <w:rPr>
                <w:rFonts w:ascii="Calibri" w:hAnsi="Calibri" w:cs="Calibri"/>
                <w:color w:val="000000"/>
                <w:sz w:val="16"/>
                <w:szCs w:val="16"/>
              </w:rPr>
              <w:t>A-16-384</w:t>
            </w:r>
          </w:p>
        </w:tc>
        <w:tc>
          <w:tcPr>
            <w:tcW w:w="1350" w:type="dxa"/>
            <w:tcBorders>
              <w:top w:val="single" w:sz="4" w:space="0" w:color="auto"/>
              <w:left w:val="nil"/>
              <w:bottom w:val="single" w:sz="4" w:space="0" w:color="auto"/>
              <w:right w:val="single" w:sz="4" w:space="0" w:color="auto"/>
            </w:tcBorders>
            <w:shd w:val="clear" w:color="auto" w:fill="auto"/>
            <w:vAlign w:val="center"/>
          </w:tcPr>
          <w:p w14:paraId="7E493968" w14:textId="77777777" w:rsidR="00045A02" w:rsidRDefault="00045A02" w:rsidP="000250B5">
            <w:pPr>
              <w:spacing w:after="0" w:line="240" w:lineRule="auto"/>
              <w:jc w:val="center"/>
              <w:rPr>
                <w:rFonts w:ascii="Calibri" w:hAnsi="Calibri" w:cs="Calibri"/>
                <w:color w:val="000000"/>
                <w:sz w:val="16"/>
                <w:szCs w:val="16"/>
              </w:rPr>
            </w:pP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5A2C50E7" w14:textId="77777777" w:rsidR="00045A02" w:rsidRDefault="00045A02" w:rsidP="000250B5">
            <w:pPr>
              <w:spacing w:after="0" w:line="240" w:lineRule="auto"/>
              <w:jc w:val="center"/>
              <w:rPr>
                <w:rFonts w:ascii="Calibri" w:hAnsi="Calibri" w:cs="Calibri"/>
                <w:color w:val="000000"/>
                <w:sz w:val="22"/>
                <w:szCs w:val="22"/>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71288D00" w14:textId="77777777" w:rsidR="00045A02" w:rsidRDefault="00045A02"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BB62619" w14:textId="77777777" w:rsidR="00045A02" w:rsidRDefault="00045A02"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5E0528A" w14:textId="77777777" w:rsidR="00045A02" w:rsidRDefault="00045A02" w:rsidP="000250B5">
            <w:pPr>
              <w:spacing w:after="0" w:line="240" w:lineRule="auto"/>
              <w:jc w:val="center"/>
              <w:rPr>
                <w:rFonts w:ascii="Calibri" w:hAnsi="Calibri" w:cs="Calibri"/>
                <w:color w:val="000000"/>
                <w:sz w:val="22"/>
                <w:szCs w:val="22"/>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19CB6096" w14:textId="77777777" w:rsidR="00045A02" w:rsidRDefault="00045A02" w:rsidP="000250B5">
            <w:pPr>
              <w:spacing w:after="0" w:line="240" w:lineRule="auto"/>
              <w:jc w:val="center"/>
              <w:rPr>
                <w:rFonts w:ascii="Calibri" w:hAnsi="Calibri" w:cs="Calibri"/>
                <w:color w:val="000000"/>
                <w:sz w:val="22"/>
                <w:szCs w:val="22"/>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2A4515E9" w14:textId="77777777" w:rsidR="00045A02" w:rsidRPr="00E440BE" w:rsidRDefault="00045A02" w:rsidP="000250B5">
            <w:pPr>
              <w:spacing w:after="0" w:line="240" w:lineRule="auto"/>
              <w:jc w:val="center"/>
              <w:rPr>
                <w:rFonts w:ascii="Calibri" w:hAnsi="Calibri" w:cs="Calibri"/>
                <w:color w:val="000000"/>
                <w:sz w:val="16"/>
                <w:szCs w:val="16"/>
              </w:rPr>
            </w:pPr>
            <w:r w:rsidRPr="00E440BE">
              <w:rPr>
                <w:rFonts w:ascii="Calibri" w:hAnsi="Calibri" w:cs="Calibri"/>
                <w:color w:val="000000"/>
                <w:sz w:val="16"/>
                <w:szCs w:val="16"/>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3766670F" w14:textId="77777777" w:rsidR="00045A02" w:rsidRPr="00E440BE" w:rsidRDefault="005C4726" w:rsidP="000250B5">
            <w:pPr>
              <w:spacing w:after="0" w:line="240" w:lineRule="auto"/>
              <w:jc w:val="center"/>
              <w:rPr>
                <w:rFonts w:ascii="Calibri" w:eastAsia="Times New Roman" w:hAnsi="Calibri" w:cs="Calibri"/>
                <w:color w:val="000000"/>
                <w:kern w:val="0"/>
                <w:sz w:val="16"/>
                <w:szCs w:val="16"/>
                <w14:ligatures w14:val="none"/>
              </w:rPr>
            </w:pPr>
            <w:r>
              <w:rPr>
                <w:rFonts w:ascii="Calibri" w:hAnsi="Calibri" w:cs="Calibri"/>
                <w:color w:val="000000"/>
                <w:sz w:val="16"/>
                <w:szCs w:val="16"/>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6E8C7500" w14:textId="77777777" w:rsidR="00045A02" w:rsidRPr="00E440BE" w:rsidRDefault="00045A02" w:rsidP="000250B5">
            <w:pPr>
              <w:spacing w:after="0" w:line="240" w:lineRule="auto"/>
              <w:jc w:val="center"/>
              <w:rPr>
                <w:rFonts w:ascii="Calibri" w:hAnsi="Calibri" w:cs="Calibri"/>
                <w:color w:val="000000"/>
                <w:sz w:val="16"/>
                <w:szCs w:val="16"/>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1D7176F1" w14:textId="77777777" w:rsidR="00045A02" w:rsidRPr="00E440BE" w:rsidRDefault="00045A02" w:rsidP="000250B5">
            <w:pPr>
              <w:spacing w:after="0" w:line="240" w:lineRule="auto"/>
              <w:jc w:val="center"/>
              <w:rPr>
                <w:rFonts w:ascii="Calibri" w:hAnsi="Calibri" w:cs="Calibri"/>
                <w:color w:val="000000"/>
                <w:sz w:val="16"/>
                <w:szCs w:val="16"/>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24ECAB48" w14:textId="77777777" w:rsidR="00045A02" w:rsidRPr="00E440BE" w:rsidRDefault="00045A02" w:rsidP="000250B5">
            <w:pPr>
              <w:spacing w:after="0" w:line="240" w:lineRule="auto"/>
              <w:jc w:val="center"/>
              <w:rPr>
                <w:rFonts w:ascii="Calibri" w:hAnsi="Calibri" w:cs="Calibri"/>
                <w:color w:val="000000"/>
                <w:sz w:val="16"/>
                <w:szCs w:val="16"/>
              </w:rPr>
            </w:pPr>
            <w:r w:rsidRPr="00E440BE">
              <w:rPr>
                <w:rFonts w:ascii="Calibri" w:hAnsi="Calibri" w:cs="Calibri"/>
                <w:color w:val="000000"/>
                <w:sz w:val="16"/>
                <w:szCs w:val="16"/>
              </w:rPr>
              <w:t>N/A</w:t>
            </w:r>
          </w:p>
        </w:tc>
        <w:tc>
          <w:tcPr>
            <w:tcW w:w="4173" w:type="dxa"/>
            <w:tcBorders>
              <w:top w:val="single" w:sz="4" w:space="0" w:color="auto"/>
              <w:left w:val="nil"/>
              <w:bottom w:val="single" w:sz="4" w:space="0" w:color="auto"/>
              <w:right w:val="single" w:sz="4" w:space="0" w:color="auto"/>
            </w:tcBorders>
            <w:shd w:val="clear" w:color="auto" w:fill="auto"/>
            <w:vAlign w:val="center"/>
          </w:tcPr>
          <w:p w14:paraId="2673B7AF" w14:textId="77777777" w:rsidR="00045A02" w:rsidRPr="00E440BE" w:rsidRDefault="00045A02" w:rsidP="000250B5">
            <w:pPr>
              <w:spacing w:after="0" w:line="240" w:lineRule="auto"/>
              <w:jc w:val="both"/>
              <w:rPr>
                <w:rFonts w:ascii="Calibri" w:hAnsi="Calibri" w:cs="Calibri"/>
                <w:color w:val="000000"/>
                <w:sz w:val="16"/>
                <w:szCs w:val="16"/>
              </w:rPr>
            </w:pPr>
            <w:r w:rsidRPr="00E440BE">
              <w:rPr>
                <w:rFonts w:ascii="Calibri" w:hAnsi="Calibri" w:cs="Calibri"/>
                <w:color w:val="000000"/>
                <w:sz w:val="16"/>
                <w:szCs w:val="16"/>
              </w:rPr>
              <w:t>Negociado de Conciliación y Arbitraje del Departamento del Trabajo (Aportación al Plan Médico) Se transigió mediante acuerdo por estipulación. La Unión retiró el caso de arbitraje y se decretó el cierre con perjuicio del este.</w:t>
            </w:r>
          </w:p>
        </w:tc>
      </w:tr>
      <w:tr w:rsidR="00045A02" w:rsidRPr="003E2CFD" w14:paraId="4CE1815E"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677499" w14:textId="77777777" w:rsidR="00045A02" w:rsidRDefault="00045A02" w:rsidP="000250B5">
            <w:pPr>
              <w:spacing w:after="0" w:line="240" w:lineRule="auto"/>
              <w:jc w:val="center"/>
              <w:rPr>
                <w:rFonts w:ascii="Calibri" w:hAnsi="Calibri" w:cs="Calibri"/>
                <w:color w:val="000000"/>
                <w:sz w:val="22"/>
                <w:szCs w:val="22"/>
              </w:rPr>
            </w:pPr>
            <w:r>
              <w:rPr>
                <w:rFonts w:ascii="Calibri" w:hAnsi="Calibri" w:cs="Calibri"/>
                <w:color w:val="000000"/>
                <w:sz w:val="22"/>
                <w:szCs w:val="22"/>
              </w:rPr>
              <w:t xml:space="preserve">Jannette S. González Marengo vs Autoridad de Tierras y su Compañía Aseguradora, Universal Insurance Company; Administración de Terrenos, y su </w:t>
            </w:r>
            <w:r w:rsidR="00291EA0">
              <w:rPr>
                <w:rFonts w:ascii="Calibri" w:hAnsi="Calibri" w:cs="Calibri"/>
                <w:color w:val="000000"/>
                <w:sz w:val="22"/>
                <w:szCs w:val="22"/>
              </w:rPr>
              <w:t>compañía</w:t>
            </w:r>
            <w:r>
              <w:rPr>
                <w:rFonts w:ascii="Calibri" w:hAnsi="Calibri" w:cs="Calibri"/>
                <w:color w:val="000000"/>
                <w:sz w:val="22"/>
                <w:szCs w:val="22"/>
              </w:rPr>
              <w:t xml:space="preserve"> aseguradora </w:t>
            </w:r>
            <w:r>
              <w:rPr>
                <w:rFonts w:ascii="Calibri" w:hAnsi="Calibri" w:cs="Calibri"/>
                <w:color w:val="000000"/>
                <w:sz w:val="22"/>
                <w:szCs w:val="22"/>
              </w:rPr>
              <w:lastRenderedPageBreak/>
              <w:t>"Y", así denominada por desconocer su verdadero nombre; Fulano de Tal y su compañía de seguros "X", así denominados por desconocer sus verdaderos nombres.</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40F0F3F7" w14:textId="77777777" w:rsidR="00045A02" w:rsidRDefault="00045A02"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76CC1129" w14:textId="77777777" w:rsidR="00045A02" w:rsidRDefault="00045A02" w:rsidP="000250B5">
            <w:pPr>
              <w:spacing w:after="0" w:line="240" w:lineRule="auto"/>
              <w:jc w:val="center"/>
              <w:rPr>
                <w:rFonts w:ascii="Calibri" w:hAnsi="Calibri" w:cs="Calibri"/>
                <w:color w:val="000000"/>
                <w:sz w:val="16"/>
                <w:szCs w:val="16"/>
              </w:rPr>
            </w:pPr>
            <w:r>
              <w:rPr>
                <w:rFonts w:ascii="Calibri" w:hAnsi="Calibri" w:cs="Calibri"/>
                <w:color w:val="000000"/>
                <w:sz w:val="16"/>
                <w:szCs w:val="16"/>
              </w:rPr>
              <w:t>K DP2015-0342</w:t>
            </w: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0DBB4836" w14:textId="77777777" w:rsidR="00045A02" w:rsidRDefault="00045A02" w:rsidP="000250B5">
            <w:pPr>
              <w:spacing w:after="0" w:line="240" w:lineRule="auto"/>
              <w:jc w:val="center"/>
              <w:rPr>
                <w:rFonts w:ascii="Calibri" w:hAnsi="Calibri" w:cs="Calibri"/>
                <w:color w:val="000000"/>
                <w:sz w:val="22"/>
                <w:szCs w:val="22"/>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64CDEBE6" w14:textId="77777777" w:rsidR="00045A02" w:rsidRDefault="00045A02"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ADFBDCE" w14:textId="77777777" w:rsidR="00045A02" w:rsidRDefault="00045A02"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4816D38" w14:textId="77777777" w:rsidR="00045A02" w:rsidRDefault="00045A02" w:rsidP="000250B5">
            <w:pPr>
              <w:spacing w:after="0" w:line="240" w:lineRule="auto"/>
              <w:jc w:val="center"/>
              <w:rPr>
                <w:rFonts w:ascii="Calibri" w:hAnsi="Calibri" w:cs="Calibri"/>
                <w:color w:val="000000"/>
                <w:sz w:val="22"/>
                <w:szCs w:val="22"/>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7447A79A" w14:textId="77777777" w:rsidR="00045A02" w:rsidRDefault="00045A02" w:rsidP="000250B5">
            <w:pPr>
              <w:spacing w:after="0" w:line="240" w:lineRule="auto"/>
              <w:jc w:val="center"/>
              <w:rPr>
                <w:rFonts w:ascii="Calibri" w:hAnsi="Calibri" w:cs="Calibri"/>
                <w:color w:val="000000"/>
                <w:sz w:val="22"/>
                <w:szCs w:val="22"/>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7BF5A9DD" w14:textId="77777777" w:rsidR="00045A02" w:rsidRPr="00E440BE" w:rsidRDefault="005C4726" w:rsidP="000250B5">
            <w:pPr>
              <w:spacing w:after="0" w:line="240" w:lineRule="auto"/>
              <w:jc w:val="center"/>
              <w:rPr>
                <w:rFonts w:ascii="Calibri" w:hAnsi="Calibri" w:cs="Calibri"/>
                <w:color w:val="000000"/>
                <w:sz w:val="16"/>
                <w:szCs w:val="16"/>
              </w:rPr>
            </w:pPr>
            <w:r>
              <w:rPr>
                <w:rFonts w:ascii="Calibri" w:hAnsi="Calibri" w:cs="Calibri"/>
                <w:color w:val="000000"/>
                <w:sz w:val="16"/>
                <w:szCs w:val="16"/>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1A828B48" w14:textId="77777777" w:rsidR="00045A02" w:rsidRPr="00E440BE" w:rsidRDefault="00045A02" w:rsidP="000250B5">
            <w:pPr>
              <w:spacing w:after="0" w:line="240" w:lineRule="auto"/>
              <w:jc w:val="center"/>
              <w:rPr>
                <w:rFonts w:ascii="Calibri" w:eastAsia="Times New Roman" w:hAnsi="Calibri" w:cs="Calibri"/>
                <w:color w:val="000000"/>
                <w:kern w:val="0"/>
                <w:sz w:val="16"/>
                <w:szCs w:val="16"/>
                <w14:ligatures w14:val="none"/>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1D2616B6" w14:textId="77777777" w:rsidR="00045A02" w:rsidRPr="00E440BE" w:rsidRDefault="00045A02" w:rsidP="000250B5">
            <w:pPr>
              <w:spacing w:after="0" w:line="240" w:lineRule="auto"/>
              <w:jc w:val="center"/>
              <w:rPr>
                <w:rFonts w:ascii="Calibri" w:hAnsi="Calibri" w:cs="Calibri"/>
                <w:color w:val="000000"/>
                <w:sz w:val="16"/>
                <w:szCs w:val="16"/>
              </w:rPr>
            </w:pPr>
            <w:r w:rsidRPr="00E440BE">
              <w:rPr>
                <w:rFonts w:ascii="Calibri" w:hAnsi="Calibri" w:cs="Calibri"/>
                <w:color w:val="000000"/>
                <w:sz w:val="16"/>
                <w:szCs w:val="16"/>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5941F784" w14:textId="77777777" w:rsidR="00045A02" w:rsidRPr="00E440BE" w:rsidRDefault="00045A02" w:rsidP="000250B5">
            <w:pPr>
              <w:spacing w:after="0" w:line="240" w:lineRule="auto"/>
              <w:jc w:val="center"/>
              <w:rPr>
                <w:rFonts w:ascii="Calibri" w:hAnsi="Calibri" w:cs="Calibri"/>
                <w:color w:val="000000"/>
                <w:sz w:val="16"/>
                <w:szCs w:val="16"/>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52C17405" w14:textId="77777777" w:rsidR="00045A02" w:rsidRPr="00E440BE" w:rsidRDefault="00045A02" w:rsidP="000250B5">
            <w:pPr>
              <w:spacing w:after="0" w:line="240" w:lineRule="auto"/>
              <w:jc w:val="center"/>
              <w:rPr>
                <w:rFonts w:ascii="Calibri" w:hAnsi="Calibri" w:cs="Calibri"/>
                <w:color w:val="000000"/>
                <w:sz w:val="16"/>
                <w:szCs w:val="16"/>
              </w:rPr>
            </w:pPr>
            <w:r w:rsidRPr="00E440BE">
              <w:rPr>
                <w:rFonts w:ascii="Calibri" w:hAnsi="Calibri" w:cs="Calibri"/>
                <w:color w:val="000000"/>
                <w:sz w:val="16"/>
                <w:szCs w:val="16"/>
              </w:rPr>
              <w:t>$100,000</w:t>
            </w:r>
          </w:p>
        </w:tc>
        <w:tc>
          <w:tcPr>
            <w:tcW w:w="4173" w:type="dxa"/>
            <w:tcBorders>
              <w:top w:val="single" w:sz="4" w:space="0" w:color="auto"/>
              <w:left w:val="nil"/>
              <w:bottom w:val="single" w:sz="4" w:space="0" w:color="auto"/>
              <w:right w:val="single" w:sz="4" w:space="0" w:color="auto"/>
            </w:tcBorders>
            <w:shd w:val="clear" w:color="auto" w:fill="auto"/>
            <w:vAlign w:val="center"/>
          </w:tcPr>
          <w:p w14:paraId="628CC153" w14:textId="77777777" w:rsidR="00045A02" w:rsidRPr="00E440BE" w:rsidRDefault="00045A02" w:rsidP="000250B5">
            <w:pPr>
              <w:spacing w:after="0" w:line="240" w:lineRule="auto"/>
              <w:jc w:val="both"/>
              <w:rPr>
                <w:rFonts w:ascii="Calibri" w:hAnsi="Calibri" w:cs="Calibri"/>
                <w:color w:val="000000"/>
                <w:sz w:val="16"/>
                <w:szCs w:val="16"/>
              </w:rPr>
            </w:pPr>
            <w:r w:rsidRPr="00E440BE">
              <w:rPr>
                <w:rFonts w:ascii="Calibri" w:hAnsi="Calibri" w:cs="Calibri"/>
                <w:color w:val="000000"/>
                <w:sz w:val="16"/>
                <w:szCs w:val="16"/>
              </w:rPr>
              <w:t>Se espera el caso sea desestimado, la Administración no era dueña del terreno a la fecha del accidente.  El caso es atendido por la compañía aseguradora de la Administración. Tiene sentencia del 7 de noviembre de 2017.</w:t>
            </w:r>
          </w:p>
        </w:tc>
      </w:tr>
      <w:tr w:rsidR="005E0BFE" w:rsidRPr="003E2CFD" w14:paraId="3A658090"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2CC26D" w14:textId="77777777" w:rsidR="005E0BFE" w:rsidRDefault="005E0BFE" w:rsidP="000250B5">
            <w:pPr>
              <w:spacing w:after="0" w:line="240" w:lineRule="auto"/>
              <w:jc w:val="center"/>
              <w:rPr>
                <w:rFonts w:ascii="Calibri" w:hAnsi="Calibri" w:cs="Calibri"/>
                <w:color w:val="000000"/>
                <w:sz w:val="22"/>
                <w:szCs w:val="22"/>
              </w:rPr>
            </w:pPr>
            <w:r>
              <w:rPr>
                <w:rFonts w:ascii="Calibri" w:hAnsi="Calibri" w:cs="Calibri"/>
                <w:color w:val="000000"/>
                <w:sz w:val="22"/>
                <w:szCs w:val="22"/>
              </w:rPr>
              <w:t>AT v. Autoridad Metropolitana de Autobuses</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0A2B89D2" w14:textId="77777777" w:rsidR="005E0BFE" w:rsidRDefault="005E0BFE" w:rsidP="000250B5">
            <w:pPr>
              <w:spacing w:after="0" w:line="240" w:lineRule="auto"/>
              <w:jc w:val="center"/>
              <w:rPr>
                <w:rFonts w:ascii="Calibri" w:hAnsi="Calibri" w:cs="Calibri"/>
                <w:color w:val="000000"/>
                <w:sz w:val="22"/>
                <w:szCs w:val="22"/>
              </w:rPr>
            </w:pPr>
          </w:p>
          <w:p w14:paraId="4352F5F0" w14:textId="77777777" w:rsidR="005E0BFE" w:rsidRPr="005E0BFE" w:rsidRDefault="005E0BFE" w:rsidP="005E0BFE">
            <w:pPr>
              <w:jc w:val="center"/>
              <w:rPr>
                <w:rFonts w:ascii="Calibri" w:hAnsi="Calibri" w:cs="Calibri"/>
                <w:sz w:val="22"/>
                <w:szCs w:val="22"/>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60B1CEF2" w14:textId="77777777" w:rsidR="005E0BFE" w:rsidRDefault="005E0BFE" w:rsidP="000250B5">
            <w:pPr>
              <w:spacing w:after="0" w:line="240" w:lineRule="auto"/>
              <w:jc w:val="center"/>
              <w:rPr>
                <w:rFonts w:ascii="Calibri" w:hAnsi="Calibri" w:cs="Calibri"/>
                <w:color w:val="000000"/>
                <w:sz w:val="16"/>
                <w:szCs w:val="16"/>
              </w:rPr>
            </w:pPr>
          </w:p>
          <w:p w14:paraId="205CF182" w14:textId="77777777" w:rsidR="005E0BFE" w:rsidRDefault="005E0BFE" w:rsidP="000250B5">
            <w:pPr>
              <w:spacing w:after="0" w:line="240" w:lineRule="auto"/>
              <w:jc w:val="center"/>
              <w:rPr>
                <w:rFonts w:ascii="Calibri" w:hAnsi="Calibri" w:cs="Calibri"/>
                <w:color w:val="000000"/>
                <w:sz w:val="16"/>
                <w:szCs w:val="16"/>
              </w:rPr>
            </w:pPr>
          </w:p>
          <w:p w14:paraId="28A9C8AB" w14:textId="77777777" w:rsidR="005E0BFE" w:rsidRDefault="005E0BFE" w:rsidP="000250B5">
            <w:pPr>
              <w:spacing w:after="0" w:line="240" w:lineRule="auto"/>
              <w:jc w:val="center"/>
              <w:rPr>
                <w:rFonts w:ascii="Calibri" w:hAnsi="Calibri" w:cs="Calibri"/>
                <w:color w:val="000000"/>
                <w:sz w:val="16"/>
                <w:szCs w:val="16"/>
              </w:rPr>
            </w:pPr>
            <w:r w:rsidRPr="005E0BFE">
              <w:rPr>
                <w:rFonts w:ascii="Calibri" w:hAnsi="Calibri" w:cs="Calibri"/>
                <w:sz w:val="18"/>
                <w:szCs w:val="22"/>
              </w:rPr>
              <w:t>C</w:t>
            </w:r>
            <w:r w:rsidRPr="005E0BFE">
              <w:rPr>
                <w:rFonts w:ascii="Calibri" w:hAnsi="Calibri" w:cs="Calibri"/>
                <w:sz w:val="16"/>
                <w:szCs w:val="22"/>
              </w:rPr>
              <w:t>A2020CV00214</w:t>
            </w:r>
          </w:p>
          <w:p w14:paraId="148403B1" w14:textId="77777777" w:rsidR="005E0BFE" w:rsidRDefault="005E0BFE" w:rsidP="000250B5">
            <w:pPr>
              <w:spacing w:after="0" w:line="240" w:lineRule="auto"/>
              <w:jc w:val="center"/>
              <w:rPr>
                <w:rFonts w:ascii="Calibri" w:hAnsi="Calibri" w:cs="Calibri"/>
                <w:color w:val="000000"/>
                <w:sz w:val="16"/>
                <w:szCs w:val="16"/>
              </w:rPr>
            </w:pP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278E604A" w14:textId="77777777" w:rsidR="005E0BFE" w:rsidRDefault="005E0BFE" w:rsidP="000250B5">
            <w:pPr>
              <w:spacing w:after="0" w:line="240" w:lineRule="auto"/>
              <w:jc w:val="center"/>
              <w:rPr>
                <w:rFonts w:ascii="Calibri" w:hAnsi="Calibri" w:cs="Calibri"/>
                <w:color w:val="000000"/>
                <w:sz w:val="22"/>
                <w:szCs w:val="22"/>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1C10B932" w14:textId="77777777" w:rsidR="005E0BFE" w:rsidRDefault="005E0BFE"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89D837D" w14:textId="77777777" w:rsidR="005E0BFE" w:rsidRDefault="005E0BFE"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DCA2175" w14:textId="77777777" w:rsidR="005E0BFE" w:rsidRDefault="005E0BFE" w:rsidP="000250B5">
            <w:pPr>
              <w:spacing w:after="0" w:line="240" w:lineRule="auto"/>
              <w:jc w:val="center"/>
              <w:rPr>
                <w:rFonts w:ascii="Calibri" w:hAnsi="Calibri" w:cs="Calibri"/>
                <w:color w:val="000000"/>
                <w:sz w:val="22"/>
                <w:szCs w:val="22"/>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2E72778C" w14:textId="77777777" w:rsidR="005E0BFE" w:rsidRDefault="005E0BFE" w:rsidP="000250B5">
            <w:pPr>
              <w:spacing w:after="0" w:line="240" w:lineRule="auto"/>
              <w:jc w:val="center"/>
              <w:rPr>
                <w:rFonts w:ascii="Calibri" w:hAnsi="Calibri" w:cs="Calibri"/>
                <w:color w:val="000000"/>
                <w:sz w:val="22"/>
                <w:szCs w:val="22"/>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7860FADD" w14:textId="77777777" w:rsidR="005E0BFE" w:rsidRDefault="005E0BFE" w:rsidP="000250B5">
            <w:pPr>
              <w:spacing w:after="0" w:line="240" w:lineRule="auto"/>
              <w:jc w:val="center"/>
              <w:rPr>
                <w:rFonts w:ascii="Calibri" w:hAnsi="Calibri" w:cs="Calibri"/>
                <w:color w:val="000000"/>
                <w:sz w:val="16"/>
                <w:szCs w:val="16"/>
              </w:rPr>
            </w:pPr>
          </w:p>
          <w:p w14:paraId="3B84FBA7" w14:textId="77777777" w:rsidR="005E0BFE" w:rsidRDefault="005E0BFE" w:rsidP="000250B5">
            <w:pPr>
              <w:spacing w:after="0" w:line="240" w:lineRule="auto"/>
              <w:jc w:val="center"/>
              <w:rPr>
                <w:rFonts w:ascii="Calibri" w:hAnsi="Calibri" w:cs="Calibri"/>
                <w:color w:val="000000"/>
                <w:sz w:val="16"/>
                <w:szCs w:val="16"/>
              </w:rPr>
            </w:pPr>
          </w:p>
          <w:p w14:paraId="77B709CF" w14:textId="77777777" w:rsidR="005E0BFE" w:rsidRDefault="005E0BFE" w:rsidP="000250B5">
            <w:pPr>
              <w:spacing w:after="0" w:line="240" w:lineRule="auto"/>
              <w:jc w:val="center"/>
              <w:rPr>
                <w:rFonts w:ascii="Calibri" w:hAnsi="Calibri" w:cs="Calibri"/>
                <w:color w:val="000000"/>
                <w:sz w:val="16"/>
                <w:szCs w:val="16"/>
              </w:rPr>
            </w:pPr>
            <w:r>
              <w:rPr>
                <w:rFonts w:ascii="Calibri" w:hAnsi="Calibri" w:cs="Calibri"/>
                <w:color w:val="000000"/>
                <w:sz w:val="16"/>
                <w:szCs w:val="16"/>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440049BA" w14:textId="77777777" w:rsidR="005E0BFE" w:rsidRPr="00E440BE" w:rsidRDefault="005E0BFE" w:rsidP="000250B5">
            <w:pPr>
              <w:spacing w:after="0" w:line="240" w:lineRule="auto"/>
              <w:jc w:val="center"/>
              <w:rPr>
                <w:rFonts w:ascii="Calibri" w:eastAsia="Times New Roman" w:hAnsi="Calibri" w:cs="Calibri"/>
                <w:color w:val="000000"/>
                <w:kern w:val="0"/>
                <w:sz w:val="16"/>
                <w:szCs w:val="16"/>
                <w14:ligatures w14:val="none"/>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5A194441" w14:textId="77777777" w:rsidR="005E0BFE" w:rsidRDefault="005E0BFE" w:rsidP="000250B5">
            <w:pPr>
              <w:spacing w:after="0" w:line="240" w:lineRule="auto"/>
              <w:jc w:val="center"/>
              <w:rPr>
                <w:rFonts w:ascii="Calibri" w:hAnsi="Calibri" w:cs="Calibri"/>
                <w:color w:val="000000"/>
                <w:sz w:val="16"/>
                <w:szCs w:val="16"/>
              </w:rPr>
            </w:pPr>
          </w:p>
          <w:p w14:paraId="165C49BB" w14:textId="77777777" w:rsidR="005E0BFE" w:rsidRDefault="005E0BFE" w:rsidP="000250B5">
            <w:pPr>
              <w:spacing w:after="0" w:line="240" w:lineRule="auto"/>
              <w:jc w:val="center"/>
              <w:rPr>
                <w:rFonts w:ascii="Calibri" w:hAnsi="Calibri" w:cs="Calibri"/>
                <w:color w:val="000000"/>
                <w:sz w:val="16"/>
                <w:szCs w:val="16"/>
              </w:rPr>
            </w:pPr>
          </w:p>
          <w:p w14:paraId="6D8555C9" w14:textId="77777777" w:rsidR="005E0BFE" w:rsidRPr="00E440BE" w:rsidRDefault="00066D63" w:rsidP="000250B5">
            <w:pPr>
              <w:spacing w:after="0" w:line="240" w:lineRule="auto"/>
              <w:jc w:val="center"/>
              <w:rPr>
                <w:rFonts w:ascii="Calibri" w:hAnsi="Calibri" w:cs="Calibri"/>
                <w:color w:val="000000"/>
                <w:sz w:val="16"/>
                <w:szCs w:val="16"/>
              </w:rPr>
            </w:pPr>
            <w:r>
              <w:rPr>
                <w:rFonts w:ascii="Calibri" w:hAnsi="Calibri" w:cs="Calibri"/>
                <w:color w:val="000000"/>
                <w:sz w:val="16"/>
                <w:szCs w:val="16"/>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2F38EB78" w14:textId="77777777" w:rsidR="005E0BFE" w:rsidRDefault="005E0BFE" w:rsidP="000250B5">
            <w:pPr>
              <w:spacing w:after="0" w:line="240" w:lineRule="auto"/>
              <w:jc w:val="center"/>
              <w:rPr>
                <w:rFonts w:ascii="Calibri" w:hAnsi="Calibri" w:cs="Calibri"/>
                <w:color w:val="000000"/>
                <w:sz w:val="16"/>
                <w:szCs w:val="16"/>
              </w:rPr>
            </w:pPr>
          </w:p>
          <w:p w14:paraId="35AE2034" w14:textId="77777777" w:rsidR="005E0BFE" w:rsidRDefault="005E0BFE" w:rsidP="000250B5">
            <w:pPr>
              <w:spacing w:after="0" w:line="240" w:lineRule="auto"/>
              <w:jc w:val="center"/>
              <w:rPr>
                <w:rFonts w:ascii="Calibri" w:hAnsi="Calibri" w:cs="Calibri"/>
                <w:color w:val="000000"/>
                <w:sz w:val="16"/>
                <w:szCs w:val="16"/>
              </w:rPr>
            </w:pPr>
          </w:p>
          <w:p w14:paraId="74163AE9" w14:textId="77777777" w:rsidR="005E0BFE" w:rsidRPr="00E440BE" w:rsidRDefault="005E0BFE" w:rsidP="000250B5">
            <w:pPr>
              <w:spacing w:after="0" w:line="240" w:lineRule="auto"/>
              <w:jc w:val="center"/>
              <w:rPr>
                <w:rFonts w:ascii="Calibri" w:hAnsi="Calibri" w:cs="Calibri"/>
                <w:color w:val="000000"/>
                <w:sz w:val="16"/>
                <w:szCs w:val="16"/>
              </w:rPr>
            </w:pPr>
            <w:r>
              <w:rPr>
                <w:rFonts w:ascii="Calibri" w:hAnsi="Calibri" w:cs="Calibri"/>
                <w:color w:val="000000"/>
                <w:sz w:val="16"/>
                <w:szCs w:val="16"/>
              </w:rPr>
              <w:t>x</w:t>
            </w: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13DEFC8D" w14:textId="77777777" w:rsidR="005E0BFE" w:rsidRPr="00E440BE" w:rsidRDefault="005E0BFE" w:rsidP="000250B5">
            <w:pPr>
              <w:spacing w:after="0" w:line="240" w:lineRule="auto"/>
              <w:jc w:val="center"/>
              <w:rPr>
                <w:rFonts w:ascii="Calibri" w:hAnsi="Calibri" w:cs="Calibri"/>
                <w:color w:val="000000"/>
                <w:sz w:val="16"/>
                <w:szCs w:val="16"/>
              </w:rPr>
            </w:pPr>
          </w:p>
        </w:tc>
        <w:tc>
          <w:tcPr>
            <w:tcW w:w="4173" w:type="dxa"/>
            <w:tcBorders>
              <w:top w:val="single" w:sz="4" w:space="0" w:color="auto"/>
              <w:left w:val="nil"/>
              <w:bottom w:val="single" w:sz="4" w:space="0" w:color="auto"/>
              <w:right w:val="single" w:sz="4" w:space="0" w:color="auto"/>
            </w:tcBorders>
            <w:shd w:val="clear" w:color="auto" w:fill="auto"/>
            <w:vAlign w:val="center"/>
          </w:tcPr>
          <w:p w14:paraId="6C8B6318" w14:textId="77777777" w:rsidR="005E0BFE" w:rsidRPr="00E440BE" w:rsidRDefault="00066D63" w:rsidP="000250B5">
            <w:pPr>
              <w:spacing w:after="0" w:line="240" w:lineRule="auto"/>
              <w:jc w:val="both"/>
              <w:rPr>
                <w:rFonts w:ascii="Calibri" w:hAnsi="Calibri" w:cs="Calibri"/>
                <w:color w:val="000000"/>
                <w:sz w:val="16"/>
                <w:szCs w:val="16"/>
              </w:rPr>
            </w:pPr>
            <w:r>
              <w:rPr>
                <w:rFonts w:ascii="Calibri" w:hAnsi="Calibri" w:cs="Calibri"/>
                <w:color w:val="000000"/>
                <w:sz w:val="16"/>
                <w:szCs w:val="16"/>
              </w:rPr>
              <w:t xml:space="preserve">Cobro de Dinero, Daños y Perjuicios y Desahucio. Caso en proceso de cumplirse los acuerdos llegados entre las partes mediante Estipulación Transaccional. </w:t>
            </w:r>
          </w:p>
        </w:tc>
      </w:tr>
      <w:tr w:rsidR="00014FA7" w:rsidRPr="003E2CFD" w14:paraId="323DE44C"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01DCEB" w14:textId="77777777" w:rsidR="00014FA7" w:rsidRDefault="00014FA7" w:rsidP="000250B5">
            <w:pPr>
              <w:spacing w:after="0" w:line="240" w:lineRule="auto"/>
              <w:jc w:val="center"/>
              <w:rPr>
                <w:rFonts w:ascii="Calibri" w:hAnsi="Calibri" w:cs="Calibri"/>
                <w:color w:val="000000"/>
                <w:sz w:val="22"/>
                <w:szCs w:val="22"/>
              </w:rPr>
            </w:pPr>
            <w:r>
              <w:rPr>
                <w:rFonts w:ascii="Calibri" w:hAnsi="Calibri" w:cs="Calibri"/>
                <w:color w:val="000000"/>
                <w:sz w:val="22"/>
                <w:szCs w:val="22"/>
              </w:rPr>
              <w:t xml:space="preserve">AT v. Pedro Hernandez  </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5984FD95" w14:textId="77777777" w:rsidR="00014FA7" w:rsidRDefault="00014FA7"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5E0131A4" w14:textId="77777777" w:rsidR="00014FA7" w:rsidRDefault="00014FA7" w:rsidP="000250B5">
            <w:pPr>
              <w:spacing w:after="0" w:line="240" w:lineRule="auto"/>
              <w:jc w:val="center"/>
              <w:rPr>
                <w:rFonts w:ascii="Calibri" w:hAnsi="Calibri" w:cs="Calibri"/>
                <w:color w:val="000000"/>
                <w:sz w:val="16"/>
                <w:szCs w:val="16"/>
              </w:rPr>
            </w:pPr>
          </w:p>
          <w:p w14:paraId="6EDA4BB9" w14:textId="77777777" w:rsidR="00014FA7" w:rsidRDefault="00014FA7" w:rsidP="000250B5">
            <w:pPr>
              <w:spacing w:after="0" w:line="240" w:lineRule="auto"/>
              <w:jc w:val="center"/>
              <w:rPr>
                <w:rFonts w:ascii="Calibri" w:hAnsi="Calibri" w:cs="Calibri"/>
                <w:color w:val="000000"/>
                <w:sz w:val="16"/>
                <w:szCs w:val="16"/>
              </w:rPr>
            </w:pPr>
            <w:r>
              <w:rPr>
                <w:rFonts w:ascii="Calibri" w:hAnsi="Calibri" w:cs="Calibri"/>
                <w:color w:val="000000"/>
                <w:sz w:val="16"/>
                <w:szCs w:val="16"/>
              </w:rPr>
              <w:t>SJ2022CV06027</w:t>
            </w: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4797EEAB" w14:textId="77777777" w:rsidR="00014FA7" w:rsidRDefault="00014FA7" w:rsidP="000250B5">
            <w:pPr>
              <w:spacing w:after="0" w:line="240" w:lineRule="auto"/>
              <w:jc w:val="center"/>
              <w:rPr>
                <w:rFonts w:ascii="Calibri" w:hAnsi="Calibri" w:cs="Calibri"/>
                <w:color w:val="000000"/>
                <w:sz w:val="22"/>
                <w:szCs w:val="22"/>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2AABF6B5" w14:textId="77777777" w:rsidR="00014FA7" w:rsidRDefault="00014FA7"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2243667" w14:textId="77777777" w:rsidR="00014FA7" w:rsidRDefault="00014FA7"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247CD2E" w14:textId="77777777" w:rsidR="00014FA7" w:rsidRDefault="00014FA7" w:rsidP="000250B5">
            <w:pPr>
              <w:spacing w:after="0" w:line="240" w:lineRule="auto"/>
              <w:jc w:val="center"/>
              <w:rPr>
                <w:rFonts w:ascii="Calibri" w:hAnsi="Calibri" w:cs="Calibri"/>
                <w:color w:val="000000"/>
                <w:sz w:val="22"/>
                <w:szCs w:val="22"/>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77974DA7" w14:textId="77777777" w:rsidR="00014FA7" w:rsidRDefault="00014FA7" w:rsidP="000250B5">
            <w:pPr>
              <w:spacing w:after="0" w:line="240" w:lineRule="auto"/>
              <w:jc w:val="center"/>
              <w:rPr>
                <w:rFonts w:ascii="Calibri" w:hAnsi="Calibri" w:cs="Calibri"/>
                <w:color w:val="000000"/>
                <w:sz w:val="22"/>
                <w:szCs w:val="22"/>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028AE7BF" w14:textId="77777777" w:rsidR="00014FA7" w:rsidRDefault="00014FA7" w:rsidP="000250B5">
            <w:pPr>
              <w:spacing w:after="0" w:line="240" w:lineRule="auto"/>
              <w:jc w:val="center"/>
              <w:rPr>
                <w:rFonts w:ascii="Calibri" w:hAnsi="Calibri" w:cs="Calibri"/>
                <w:color w:val="000000"/>
                <w:sz w:val="16"/>
                <w:szCs w:val="16"/>
              </w:rPr>
            </w:pPr>
          </w:p>
          <w:p w14:paraId="25E94967" w14:textId="77777777" w:rsidR="00014FA7" w:rsidRDefault="00014FA7" w:rsidP="000250B5">
            <w:pPr>
              <w:spacing w:after="0" w:line="240" w:lineRule="auto"/>
              <w:jc w:val="center"/>
              <w:rPr>
                <w:rFonts w:ascii="Calibri" w:hAnsi="Calibri" w:cs="Calibri"/>
                <w:color w:val="000000"/>
                <w:sz w:val="16"/>
                <w:szCs w:val="16"/>
              </w:rPr>
            </w:pPr>
            <w:r>
              <w:rPr>
                <w:rFonts w:ascii="Calibri" w:hAnsi="Calibri" w:cs="Calibri"/>
                <w:color w:val="000000"/>
                <w:sz w:val="16"/>
                <w:szCs w:val="16"/>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01B1C50C" w14:textId="77777777" w:rsidR="00014FA7" w:rsidRPr="00E440BE" w:rsidRDefault="00014FA7" w:rsidP="000250B5">
            <w:pPr>
              <w:spacing w:after="0" w:line="240" w:lineRule="auto"/>
              <w:jc w:val="center"/>
              <w:rPr>
                <w:rFonts w:ascii="Calibri" w:eastAsia="Times New Roman" w:hAnsi="Calibri" w:cs="Calibri"/>
                <w:color w:val="000000"/>
                <w:kern w:val="0"/>
                <w:sz w:val="16"/>
                <w:szCs w:val="16"/>
                <w14:ligatures w14:val="none"/>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1BE11290" w14:textId="77777777" w:rsidR="00014FA7" w:rsidRDefault="00014FA7" w:rsidP="000250B5">
            <w:pPr>
              <w:spacing w:after="0" w:line="240" w:lineRule="auto"/>
              <w:jc w:val="center"/>
              <w:rPr>
                <w:rFonts w:ascii="Calibri" w:hAnsi="Calibri" w:cs="Calibri"/>
                <w:color w:val="000000"/>
                <w:sz w:val="16"/>
                <w:szCs w:val="16"/>
              </w:rPr>
            </w:pPr>
          </w:p>
          <w:p w14:paraId="2491D072" w14:textId="77777777" w:rsidR="00014FA7" w:rsidRDefault="00014FA7" w:rsidP="000250B5">
            <w:pPr>
              <w:spacing w:after="0" w:line="240" w:lineRule="auto"/>
              <w:jc w:val="center"/>
              <w:rPr>
                <w:rFonts w:ascii="Calibri" w:hAnsi="Calibri" w:cs="Calibri"/>
                <w:color w:val="000000"/>
                <w:sz w:val="16"/>
                <w:szCs w:val="16"/>
              </w:rPr>
            </w:pPr>
            <w:r>
              <w:rPr>
                <w:rFonts w:ascii="Calibri" w:hAnsi="Calibri" w:cs="Calibri"/>
                <w:color w:val="000000"/>
                <w:sz w:val="16"/>
                <w:szCs w:val="16"/>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08F65D64" w14:textId="77777777" w:rsidR="00014FA7" w:rsidRDefault="00014FA7" w:rsidP="000250B5">
            <w:pPr>
              <w:spacing w:after="0" w:line="240" w:lineRule="auto"/>
              <w:jc w:val="center"/>
              <w:rPr>
                <w:rFonts w:ascii="Calibri" w:hAnsi="Calibri" w:cs="Calibri"/>
                <w:color w:val="000000"/>
                <w:sz w:val="16"/>
                <w:szCs w:val="16"/>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6E696CBD" w14:textId="77777777" w:rsidR="00014FA7" w:rsidRPr="00E440BE" w:rsidRDefault="00014FA7" w:rsidP="000250B5">
            <w:pPr>
              <w:spacing w:after="0" w:line="240" w:lineRule="auto"/>
              <w:jc w:val="center"/>
              <w:rPr>
                <w:rFonts w:ascii="Calibri" w:hAnsi="Calibri" w:cs="Calibri"/>
                <w:color w:val="000000"/>
                <w:sz w:val="16"/>
                <w:szCs w:val="16"/>
              </w:rPr>
            </w:pPr>
            <w:r>
              <w:rPr>
                <w:rFonts w:ascii="Calibri" w:hAnsi="Calibri" w:cs="Calibri"/>
                <w:color w:val="000000"/>
                <w:sz w:val="16"/>
                <w:szCs w:val="16"/>
              </w:rPr>
              <w:t>$24,715.66</w:t>
            </w:r>
          </w:p>
        </w:tc>
        <w:tc>
          <w:tcPr>
            <w:tcW w:w="4173" w:type="dxa"/>
            <w:tcBorders>
              <w:top w:val="single" w:sz="4" w:space="0" w:color="auto"/>
              <w:left w:val="nil"/>
              <w:bottom w:val="single" w:sz="4" w:space="0" w:color="auto"/>
              <w:right w:val="single" w:sz="4" w:space="0" w:color="auto"/>
            </w:tcBorders>
            <w:shd w:val="clear" w:color="auto" w:fill="auto"/>
            <w:vAlign w:val="center"/>
          </w:tcPr>
          <w:p w14:paraId="5D7D7D54" w14:textId="77777777" w:rsidR="00014FA7" w:rsidRDefault="00014FA7" w:rsidP="00014FA7">
            <w:pPr>
              <w:spacing w:after="0" w:line="240" w:lineRule="auto"/>
              <w:jc w:val="both"/>
              <w:rPr>
                <w:rFonts w:ascii="Calibri" w:hAnsi="Calibri" w:cs="Calibri"/>
                <w:color w:val="000000"/>
                <w:sz w:val="16"/>
                <w:szCs w:val="16"/>
              </w:rPr>
            </w:pPr>
            <w:r>
              <w:rPr>
                <w:rFonts w:ascii="Calibri" w:hAnsi="Calibri" w:cs="Calibri"/>
                <w:color w:val="000000"/>
                <w:sz w:val="16"/>
                <w:szCs w:val="16"/>
              </w:rPr>
              <w:t xml:space="preserve">Cobro de Dinero – Sentencia final y firme – Ejecución de Sentencia detenida por proceso de quiebra del demandado en Tribunal Federal. </w:t>
            </w:r>
          </w:p>
        </w:tc>
      </w:tr>
      <w:tr w:rsidR="00B7474C" w:rsidRPr="003E2CFD" w14:paraId="78EEBBE0"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53D210" w14:textId="547E3207" w:rsidR="00B7474C" w:rsidRDefault="00B7474C" w:rsidP="000250B5">
            <w:pPr>
              <w:spacing w:after="0" w:line="240" w:lineRule="auto"/>
              <w:jc w:val="center"/>
              <w:rPr>
                <w:rFonts w:ascii="Calibri" w:hAnsi="Calibri" w:cs="Calibri"/>
                <w:color w:val="000000"/>
                <w:sz w:val="22"/>
                <w:szCs w:val="22"/>
              </w:rPr>
            </w:pPr>
            <w:r>
              <w:rPr>
                <w:rFonts w:ascii="Calibri" w:hAnsi="Calibri" w:cs="Calibri"/>
                <w:color w:val="000000"/>
                <w:sz w:val="22"/>
                <w:szCs w:val="22"/>
              </w:rPr>
              <w:t>Autoridad de Carreteras y Transportación v. AT</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4AAE74E5" w14:textId="77777777" w:rsidR="00B7474C" w:rsidRDefault="00B7474C"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21C7612A" w14:textId="4160D924" w:rsidR="00B7474C" w:rsidRDefault="00B7474C" w:rsidP="000250B5">
            <w:pPr>
              <w:spacing w:after="0" w:line="240" w:lineRule="auto"/>
              <w:jc w:val="center"/>
              <w:rPr>
                <w:rFonts w:ascii="Calibri" w:hAnsi="Calibri" w:cs="Calibri"/>
                <w:color w:val="000000"/>
                <w:sz w:val="16"/>
                <w:szCs w:val="16"/>
              </w:rPr>
            </w:pPr>
            <w:r>
              <w:rPr>
                <w:rFonts w:ascii="Calibri" w:hAnsi="Calibri" w:cs="Calibri"/>
                <w:color w:val="000000"/>
                <w:sz w:val="16"/>
                <w:szCs w:val="16"/>
              </w:rPr>
              <w:t>SJ2023CV09403</w:t>
            </w: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78E75847" w14:textId="77777777" w:rsidR="00B7474C" w:rsidRDefault="00B7474C" w:rsidP="000250B5">
            <w:pPr>
              <w:spacing w:after="0" w:line="240" w:lineRule="auto"/>
              <w:jc w:val="center"/>
              <w:rPr>
                <w:rFonts w:ascii="Calibri" w:hAnsi="Calibri" w:cs="Calibri"/>
                <w:color w:val="000000"/>
                <w:sz w:val="22"/>
                <w:szCs w:val="22"/>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5E329BB2" w14:textId="77777777" w:rsidR="00B7474C" w:rsidRDefault="00B7474C"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68BD7E6" w14:textId="77777777" w:rsidR="00B7474C" w:rsidRDefault="00B7474C"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DE68365" w14:textId="77777777" w:rsidR="00B7474C" w:rsidRDefault="00B7474C" w:rsidP="000250B5">
            <w:pPr>
              <w:spacing w:after="0" w:line="240" w:lineRule="auto"/>
              <w:jc w:val="center"/>
              <w:rPr>
                <w:rFonts w:ascii="Calibri" w:hAnsi="Calibri" w:cs="Calibri"/>
                <w:color w:val="000000"/>
                <w:sz w:val="22"/>
                <w:szCs w:val="22"/>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1F4BA8AA" w14:textId="77777777" w:rsidR="00B7474C" w:rsidRDefault="00B7474C" w:rsidP="000250B5">
            <w:pPr>
              <w:spacing w:after="0" w:line="240" w:lineRule="auto"/>
              <w:jc w:val="center"/>
              <w:rPr>
                <w:rFonts w:ascii="Calibri" w:hAnsi="Calibri" w:cs="Calibri"/>
                <w:color w:val="000000"/>
                <w:sz w:val="22"/>
                <w:szCs w:val="22"/>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3492359C" w14:textId="20987366" w:rsidR="00B7474C" w:rsidRDefault="00B7474C" w:rsidP="000250B5">
            <w:pPr>
              <w:spacing w:after="0" w:line="240" w:lineRule="auto"/>
              <w:jc w:val="center"/>
              <w:rPr>
                <w:rFonts w:ascii="Calibri" w:hAnsi="Calibri" w:cs="Calibri"/>
                <w:color w:val="000000"/>
                <w:sz w:val="16"/>
                <w:szCs w:val="16"/>
              </w:rPr>
            </w:pPr>
            <w:r>
              <w:rPr>
                <w:rFonts w:ascii="Calibri" w:hAnsi="Calibri" w:cs="Calibri"/>
                <w:color w:val="000000"/>
                <w:sz w:val="16"/>
                <w:szCs w:val="16"/>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681F6FD2" w14:textId="138FC34F" w:rsidR="00B7474C" w:rsidRPr="00E440BE" w:rsidRDefault="00B7474C" w:rsidP="000250B5">
            <w:pPr>
              <w:spacing w:after="0" w:line="240" w:lineRule="auto"/>
              <w:jc w:val="center"/>
              <w:rPr>
                <w:rFonts w:ascii="Calibri" w:eastAsia="Times New Roman" w:hAnsi="Calibri" w:cs="Calibri"/>
                <w:color w:val="000000"/>
                <w:kern w:val="0"/>
                <w:sz w:val="16"/>
                <w:szCs w:val="16"/>
                <w14:ligatures w14:val="none"/>
              </w:rPr>
            </w:pPr>
            <w:r>
              <w:rPr>
                <w:rFonts w:ascii="Calibri" w:eastAsia="Times New Roman" w:hAnsi="Calibri" w:cs="Calibri"/>
                <w:color w:val="000000"/>
                <w:kern w:val="0"/>
                <w:sz w:val="16"/>
                <w:szCs w:val="16"/>
                <w14:ligatures w14:val="none"/>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1911B670" w14:textId="77777777" w:rsidR="00B7474C" w:rsidRDefault="00B7474C" w:rsidP="000250B5">
            <w:pPr>
              <w:spacing w:after="0" w:line="240" w:lineRule="auto"/>
              <w:jc w:val="center"/>
              <w:rPr>
                <w:rFonts w:ascii="Calibri" w:hAnsi="Calibri" w:cs="Calibri"/>
                <w:color w:val="000000"/>
                <w:sz w:val="16"/>
                <w:szCs w:val="16"/>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5790B6C9" w14:textId="77777777" w:rsidR="00B7474C" w:rsidRDefault="00B7474C" w:rsidP="000250B5">
            <w:pPr>
              <w:spacing w:after="0" w:line="240" w:lineRule="auto"/>
              <w:jc w:val="center"/>
              <w:rPr>
                <w:rFonts w:ascii="Calibri" w:hAnsi="Calibri" w:cs="Calibri"/>
                <w:color w:val="000000"/>
                <w:sz w:val="16"/>
                <w:szCs w:val="16"/>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65C11D86" w14:textId="6C67BCDF" w:rsidR="00B7474C" w:rsidRDefault="00BC1D0D" w:rsidP="000250B5">
            <w:pPr>
              <w:spacing w:after="0" w:line="240" w:lineRule="auto"/>
              <w:jc w:val="center"/>
              <w:rPr>
                <w:rFonts w:ascii="Calibri" w:hAnsi="Calibri" w:cs="Calibri"/>
                <w:color w:val="000000"/>
                <w:sz w:val="16"/>
                <w:szCs w:val="16"/>
              </w:rPr>
            </w:pPr>
            <w:r>
              <w:rPr>
                <w:rFonts w:ascii="Calibri" w:hAnsi="Calibri" w:cs="Calibri"/>
                <w:color w:val="000000"/>
                <w:sz w:val="16"/>
                <w:szCs w:val="16"/>
              </w:rPr>
              <w:t>$137,500</w:t>
            </w:r>
          </w:p>
        </w:tc>
        <w:tc>
          <w:tcPr>
            <w:tcW w:w="4173" w:type="dxa"/>
            <w:tcBorders>
              <w:top w:val="single" w:sz="4" w:space="0" w:color="auto"/>
              <w:left w:val="nil"/>
              <w:bottom w:val="single" w:sz="4" w:space="0" w:color="auto"/>
              <w:right w:val="single" w:sz="4" w:space="0" w:color="auto"/>
            </w:tcBorders>
            <w:shd w:val="clear" w:color="auto" w:fill="auto"/>
            <w:vAlign w:val="center"/>
          </w:tcPr>
          <w:p w14:paraId="3C969C16" w14:textId="1D0AB073" w:rsidR="00B7474C" w:rsidRDefault="00B7474C" w:rsidP="00014FA7">
            <w:pPr>
              <w:spacing w:after="0" w:line="240" w:lineRule="auto"/>
              <w:jc w:val="both"/>
              <w:rPr>
                <w:rFonts w:ascii="Calibri" w:hAnsi="Calibri" w:cs="Calibri"/>
                <w:color w:val="000000"/>
                <w:sz w:val="16"/>
                <w:szCs w:val="16"/>
              </w:rPr>
            </w:pPr>
            <w:r>
              <w:rPr>
                <w:rFonts w:ascii="Calibri" w:hAnsi="Calibri" w:cs="Calibri"/>
                <w:color w:val="000000"/>
                <w:sz w:val="16"/>
                <w:szCs w:val="16"/>
              </w:rPr>
              <w:t>Expropiación Forzosa</w:t>
            </w:r>
          </w:p>
        </w:tc>
      </w:tr>
      <w:tr w:rsidR="00BC1D0D" w:rsidRPr="003E2CFD" w14:paraId="29C46B93" w14:textId="77777777" w:rsidTr="00120D21">
        <w:trPr>
          <w:trHeight w:val="720"/>
        </w:trPr>
        <w:tc>
          <w:tcPr>
            <w:tcW w:w="22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354FC" w14:textId="008BC991" w:rsidR="00BC1D0D" w:rsidRDefault="00BC1D0D" w:rsidP="000250B5">
            <w:pPr>
              <w:spacing w:after="0" w:line="240" w:lineRule="auto"/>
              <w:jc w:val="center"/>
              <w:rPr>
                <w:rFonts w:ascii="Calibri" w:hAnsi="Calibri" w:cs="Calibri"/>
                <w:color w:val="000000"/>
                <w:sz w:val="22"/>
                <w:szCs w:val="22"/>
              </w:rPr>
            </w:pPr>
            <w:r>
              <w:rPr>
                <w:rFonts w:ascii="Calibri" w:hAnsi="Calibri" w:cs="Calibri"/>
                <w:color w:val="000000"/>
                <w:sz w:val="22"/>
                <w:szCs w:val="22"/>
              </w:rPr>
              <w:t>Autoridad de Carreteras y Transportación v. AT</w:t>
            </w:r>
          </w:p>
        </w:tc>
        <w:tc>
          <w:tcPr>
            <w:tcW w:w="1368" w:type="dxa"/>
            <w:tcBorders>
              <w:top w:val="single" w:sz="4" w:space="0" w:color="auto"/>
              <w:left w:val="nil"/>
              <w:bottom w:val="single" w:sz="4" w:space="0" w:color="auto"/>
              <w:right w:val="single" w:sz="4" w:space="0" w:color="auto"/>
            </w:tcBorders>
            <w:shd w:val="clear" w:color="auto" w:fill="auto"/>
            <w:noWrap/>
            <w:vAlign w:val="center"/>
          </w:tcPr>
          <w:p w14:paraId="24B04F05" w14:textId="77777777" w:rsidR="00BC1D0D" w:rsidRDefault="00BC1D0D"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vAlign w:val="center"/>
          </w:tcPr>
          <w:p w14:paraId="54F9508A" w14:textId="77777777" w:rsidR="00BC1D0D" w:rsidRDefault="00BC1D0D" w:rsidP="000250B5">
            <w:pPr>
              <w:spacing w:after="0" w:line="240" w:lineRule="auto"/>
              <w:jc w:val="center"/>
              <w:rPr>
                <w:rFonts w:ascii="Calibri" w:hAnsi="Calibri" w:cs="Calibri"/>
                <w:color w:val="000000"/>
                <w:sz w:val="16"/>
                <w:szCs w:val="16"/>
              </w:rPr>
            </w:pPr>
          </w:p>
          <w:p w14:paraId="1AD435E1" w14:textId="6704B1EB" w:rsidR="00BC1D0D" w:rsidRPr="00BC1D0D" w:rsidRDefault="00BC1D0D" w:rsidP="00BC1D0D">
            <w:pPr>
              <w:jc w:val="center"/>
              <w:rPr>
                <w:rFonts w:ascii="Calibri" w:hAnsi="Calibri" w:cs="Calibri"/>
                <w:sz w:val="16"/>
                <w:szCs w:val="16"/>
              </w:rPr>
            </w:pPr>
            <w:r>
              <w:rPr>
                <w:rFonts w:ascii="Calibri" w:hAnsi="Calibri" w:cs="Calibri"/>
                <w:sz w:val="16"/>
                <w:szCs w:val="16"/>
              </w:rPr>
              <w:t>SJ2022CV05301</w:t>
            </w:r>
          </w:p>
        </w:tc>
        <w:tc>
          <w:tcPr>
            <w:tcW w:w="1346" w:type="dxa"/>
            <w:tcBorders>
              <w:top w:val="single" w:sz="4" w:space="0" w:color="auto"/>
              <w:left w:val="nil"/>
              <w:bottom w:val="single" w:sz="4" w:space="0" w:color="auto"/>
              <w:right w:val="single" w:sz="4" w:space="0" w:color="auto"/>
            </w:tcBorders>
            <w:shd w:val="clear" w:color="auto" w:fill="auto"/>
            <w:noWrap/>
            <w:vAlign w:val="center"/>
          </w:tcPr>
          <w:p w14:paraId="5A23C204" w14:textId="77777777" w:rsidR="00BC1D0D" w:rsidRDefault="00BC1D0D" w:rsidP="000250B5">
            <w:pPr>
              <w:spacing w:after="0" w:line="240" w:lineRule="auto"/>
              <w:jc w:val="center"/>
              <w:rPr>
                <w:rFonts w:ascii="Calibri" w:hAnsi="Calibri" w:cs="Calibri"/>
                <w:color w:val="000000"/>
                <w:sz w:val="22"/>
                <w:szCs w:val="22"/>
              </w:rPr>
            </w:pPr>
          </w:p>
        </w:tc>
        <w:tc>
          <w:tcPr>
            <w:tcW w:w="1354" w:type="dxa"/>
            <w:tcBorders>
              <w:top w:val="single" w:sz="4" w:space="0" w:color="auto"/>
              <w:left w:val="nil"/>
              <w:bottom w:val="single" w:sz="4" w:space="0" w:color="auto"/>
              <w:right w:val="single" w:sz="4" w:space="0" w:color="auto"/>
            </w:tcBorders>
            <w:shd w:val="clear" w:color="auto" w:fill="auto"/>
            <w:noWrap/>
            <w:vAlign w:val="center"/>
          </w:tcPr>
          <w:p w14:paraId="28D70605" w14:textId="77777777" w:rsidR="00BC1D0D" w:rsidRDefault="00BC1D0D"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C0EBD3D" w14:textId="77777777" w:rsidR="00BC1D0D" w:rsidRDefault="00BC1D0D" w:rsidP="000250B5">
            <w:pPr>
              <w:spacing w:after="0" w:line="240" w:lineRule="auto"/>
              <w:jc w:val="center"/>
              <w:rPr>
                <w:rFonts w:ascii="Calibri" w:hAnsi="Calibri" w:cs="Calibri"/>
                <w:color w:val="000000"/>
                <w:sz w:val="22"/>
                <w:szCs w:val="22"/>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C7EBBAE" w14:textId="77777777" w:rsidR="00BC1D0D" w:rsidRDefault="00BC1D0D" w:rsidP="000250B5">
            <w:pPr>
              <w:spacing w:after="0" w:line="240" w:lineRule="auto"/>
              <w:jc w:val="center"/>
              <w:rPr>
                <w:rFonts w:ascii="Calibri" w:hAnsi="Calibri" w:cs="Calibri"/>
                <w:color w:val="000000"/>
                <w:sz w:val="22"/>
                <w:szCs w:val="22"/>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64F2D8FA" w14:textId="77777777" w:rsidR="00BC1D0D" w:rsidRDefault="00BC1D0D" w:rsidP="000250B5">
            <w:pPr>
              <w:spacing w:after="0" w:line="240" w:lineRule="auto"/>
              <w:jc w:val="center"/>
              <w:rPr>
                <w:rFonts w:ascii="Calibri" w:hAnsi="Calibri" w:cs="Calibri"/>
                <w:color w:val="000000"/>
                <w:sz w:val="22"/>
                <w:szCs w:val="22"/>
              </w:rPr>
            </w:pP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537AD5B2" w14:textId="62C5A8C0" w:rsidR="00BC1D0D" w:rsidRDefault="00BC1D0D" w:rsidP="000250B5">
            <w:pPr>
              <w:spacing w:after="0" w:line="240" w:lineRule="auto"/>
              <w:jc w:val="center"/>
              <w:rPr>
                <w:rFonts w:ascii="Calibri" w:hAnsi="Calibri" w:cs="Calibri"/>
                <w:color w:val="000000"/>
                <w:sz w:val="16"/>
                <w:szCs w:val="16"/>
              </w:rPr>
            </w:pPr>
            <w:r>
              <w:rPr>
                <w:rFonts w:ascii="Calibri" w:hAnsi="Calibri" w:cs="Calibri"/>
                <w:color w:val="000000"/>
                <w:sz w:val="16"/>
                <w:szCs w:val="16"/>
              </w:rPr>
              <w:t>x</w:t>
            </w:r>
          </w:p>
        </w:tc>
        <w:tc>
          <w:tcPr>
            <w:tcW w:w="474" w:type="dxa"/>
            <w:tcBorders>
              <w:top w:val="single" w:sz="4" w:space="0" w:color="auto"/>
              <w:left w:val="nil"/>
              <w:bottom w:val="single" w:sz="4" w:space="0" w:color="auto"/>
              <w:right w:val="single" w:sz="4" w:space="0" w:color="auto"/>
            </w:tcBorders>
            <w:shd w:val="clear" w:color="auto" w:fill="auto"/>
            <w:noWrap/>
            <w:vAlign w:val="center"/>
          </w:tcPr>
          <w:p w14:paraId="2A64F691" w14:textId="77777777" w:rsidR="00BC1D0D" w:rsidRDefault="00BC1D0D" w:rsidP="000250B5">
            <w:pPr>
              <w:spacing w:after="0" w:line="240" w:lineRule="auto"/>
              <w:jc w:val="center"/>
              <w:rPr>
                <w:rFonts w:ascii="Calibri" w:eastAsia="Times New Roman" w:hAnsi="Calibri" w:cs="Calibri"/>
                <w:color w:val="000000"/>
                <w:kern w:val="0"/>
                <w:sz w:val="16"/>
                <w:szCs w:val="16"/>
                <w14:ligatures w14:val="none"/>
              </w:rPr>
            </w:pP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7E53D78A" w14:textId="53E7C39C" w:rsidR="00BC1D0D" w:rsidRDefault="00BC1D0D" w:rsidP="000250B5">
            <w:pPr>
              <w:spacing w:after="0" w:line="240" w:lineRule="auto"/>
              <w:jc w:val="center"/>
              <w:rPr>
                <w:rFonts w:ascii="Calibri" w:hAnsi="Calibri" w:cs="Calibri"/>
                <w:color w:val="000000"/>
                <w:sz w:val="16"/>
                <w:szCs w:val="16"/>
              </w:rPr>
            </w:pPr>
            <w:r>
              <w:rPr>
                <w:rFonts w:ascii="Calibri" w:hAnsi="Calibri" w:cs="Calibri"/>
                <w:color w:val="000000"/>
                <w:sz w:val="16"/>
                <w:szCs w:val="16"/>
              </w:rPr>
              <w:t>x</w:t>
            </w:r>
          </w:p>
        </w:tc>
        <w:tc>
          <w:tcPr>
            <w:tcW w:w="475" w:type="dxa"/>
            <w:tcBorders>
              <w:top w:val="single" w:sz="4" w:space="0" w:color="auto"/>
              <w:left w:val="nil"/>
              <w:bottom w:val="single" w:sz="4" w:space="0" w:color="auto"/>
              <w:right w:val="single" w:sz="4" w:space="0" w:color="auto"/>
            </w:tcBorders>
            <w:shd w:val="clear" w:color="auto" w:fill="auto"/>
            <w:noWrap/>
            <w:vAlign w:val="center"/>
          </w:tcPr>
          <w:p w14:paraId="7180B22E" w14:textId="77777777" w:rsidR="00BC1D0D" w:rsidRDefault="00BC1D0D" w:rsidP="000250B5">
            <w:pPr>
              <w:spacing w:after="0" w:line="240" w:lineRule="auto"/>
              <w:jc w:val="center"/>
              <w:rPr>
                <w:rFonts w:ascii="Calibri" w:hAnsi="Calibri" w:cs="Calibri"/>
                <w:color w:val="000000"/>
                <w:sz w:val="16"/>
                <w:szCs w:val="16"/>
              </w:rPr>
            </w:pPr>
          </w:p>
        </w:tc>
        <w:tc>
          <w:tcPr>
            <w:tcW w:w="1153" w:type="dxa"/>
            <w:tcBorders>
              <w:top w:val="single" w:sz="4" w:space="0" w:color="auto"/>
              <w:left w:val="nil"/>
              <w:bottom w:val="single" w:sz="4" w:space="0" w:color="auto"/>
              <w:right w:val="single" w:sz="4" w:space="0" w:color="auto"/>
            </w:tcBorders>
            <w:shd w:val="clear" w:color="auto" w:fill="auto"/>
            <w:noWrap/>
            <w:vAlign w:val="center"/>
          </w:tcPr>
          <w:p w14:paraId="714081DF" w14:textId="6C420462" w:rsidR="00BC1D0D" w:rsidRDefault="00BC1D0D" w:rsidP="000250B5">
            <w:pPr>
              <w:spacing w:after="0" w:line="240" w:lineRule="auto"/>
              <w:jc w:val="center"/>
              <w:rPr>
                <w:rFonts w:ascii="Calibri" w:hAnsi="Calibri" w:cs="Calibri"/>
                <w:color w:val="000000"/>
                <w:sz w:val="16"/>
                <w:szCs w:val="16"/>
              </w:rPr>
            </w:pPr>
            <w:r>
              <w:rPr>
                <w:rFonts w:ascii="Calibri" w:hAnsi="Calibri" w:cs="Calibri"/>
                <w:color w:val="000000"/>
                <w:sz w:val="16"/>
                <w:szCs w:val="16"/>
              </w:rPr>
              <w:t>$317,100</w:t>
            </w:r>
          </w:p>
        </w:tc>
        <w:tc>
          <w:tcPr>
            <w:tcW w:w="4173" w:type="dxa"/>
            <w:tcBorders>
              <w:top w:val="single" w:sz="4" w:space="0" w:color="auto"/>
              <w:left w:val="nil"/>
              <w:bottom w:val="single" w:sz="4" w:space="0" w:color="auto"/>
              <w:right w:val="single" w:sz="4" w:space="0" w:color="auto"/>
            </w:tcBorders>
            <w:shd w:val="clear" w:color="auto" w:fill="auto"/>
            <w:vAlign w:val="center"/>
          </w:tcPr>
          <w:p w14:paraId="52C34F42" w14:textId="3E1FFE33" w:rsidR="00BC1D0D" w:rsidRDefault="00BC1D0D" w:rsidP="00014FA7">
            <w:pPr>
              <w:spacing w:after="0" w:line="240" w:lineRule="auto"/>
              <w:jc w:val="both"/>
              <w:rPr>
                <w:rFonts w:ascii="Calibri" w:hAnsi="Calibri" w:cs="Calibri"/>
                <w:color w:val="000000"/>
                <w:sz w:val="16"/>
                <w:szCs w:val="16"/>
              </w:rPr>
            </w:pPr>
            <w:r>
              <w:rPr>
                <w:rFonts w:ascii="Calibri" w:hAnsi="Calibri" w:cs="Calibri"/>
                <w:color w:val="000000"/>
                <w:sz w:val="16"/>
                <w:szCs w:val="16"/>
              </w:rPr>
              <w:t>Expropiación Forzosa</w:t>
            </w:r>
          </w:p>
        </w:tc>
      </w:tr>
    </w:tbl>
    <w:p w14:paraId="0B6BF6DA" w14:textId="77777777" w:rsidR="003E2CFD" w:rsidRDefault="00B17BEF">
      <w:r>
        <w:br w:type="textWrapping" w:clear="all"/>
      </w:r>
    </w:p>
    <w:sectPr w:rsidR="003E2CFD" w:rsidSect="0051720F">
      <w:headerReference w:type="default" r:id="rId9"/>
      <w:footerReference w:type="default" r:id="rId10"/>
      <w:pgSz w:w="20160" w:h="12240" w:orient="landscape" w:code="5"/>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34E9A" w14:textId="77777777" w:rsidR="000722D0" w:rsidRDefault="000722D0" w:rsidP="003E2CFD">
      <w:pPr>
        <w:spacing w:after="0" w:line="240" w:lineRule="auto"/>
      </w:pPr>
      <w:r>
        <w:separator/>
      </w:r>
    </w:p>
  </w:endnote>
  <w:endnote w:type="continuationSeparator" w:id="0">
    <w:p w14:paraId="3DC948EA" w14:textId="77777777" w:rsidR="000722D0" w:rsidRDefault="000722D0" w:rsidP="003E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237629"/>
      <w:docPartObj>
        <w:docPartGallery w:val="Page Numbers (Bottom of Page)"/>
        <w:docPartUnique/>
      </w:docPartObj>
    </w:sdtPr>
    <w:sdtEndPr>
      <w:rPr>
        <w:noProof/>
      </w:rPr>
    </w:sdtEndPr>
    <w:sdtContent>
      <w:p w14:paraId="388B275C" w14:textId="77777777" w:rsidR="00F13E8E" w:rsidRDefault="00F13E8E">
        <w:pPr>
          <w:pStyle w:val="Footer"/>
          <w:jc w:val="right"/>
        </w:pPr>
        <w:r>
          <w:fldChar w:fldCharType="begin"/>
        </w:r>
        <w:r>
          <w:instrText xml:space="preserve"> PAGE   \* MERGEFORMAT </w:instrText>
        </w:r>
        <w:r>
          <w:fldChar w:fldCharType="separate"/>
        </w:r>
        <w:r w:rsidR="008843A5">
          <w:rPr>
            <w:noProof/>
          </w:rPr>
          <w:t>18</w:t>
        </w:r>
        <w:r>
          <w:rPr>
            <w:noProof/>
          </w:rPr>
          <w:fldChar w:fldCharType="end"/>
        </w:r>
      </w:p>
    </w:sdtContent>
  </w:sdt>
  <w:p w14:paraId="4D71BC0E" w14:textId="77777777" w:rsidR="00F13E8E" w:rsidRDefault="00F13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FEB1E" w14:textId="77777777" w:rsidR="000722D0" w:rsidRDefault="000722D0" w:rsidP="003E2CFD">
      <w:pPr>
        <w:spacing w:after="0" w:line="240" w:lineRule="auto"/>
      </w:pPr>
      <w:r>
        <w:separator/>
      </w:r>
    </w:p>
  </w:footnote>
  <w:footnote w:type="continuationSeparator" w:id="0">
    <w:p w14:paraId="299A3DF8" w14:textId="77777777" w:rsidR="000722D0" w:rsidRDefault="000722D0" w:rsidP="003E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4A0" w:firstRow="1" w:lastRow="0" w:firstColumn="1" w:lastColumn="0" w:noHBand="0" w:noVBand="1"/>
    </w:tblPr>
    <w:tblGrid>
      <w:gridCol w:w="2252"/>
      <w:gridCol w:w="1348"/>
      <w:gridCol w:w="1349"/>
      <w:gridCol w:w="1348"/>
      <w:gridCol w:w="1349"/>
      <w:gridCol w:w="1348"/>
      <w:gridCol w:w="1344"/>
      <w:gridCol w:w="830"/>
      <w:gridCol w:w="825"/>
      <w:gridCol w:w="422"/>
      <w:gridCol w:w="519"/>
      <w:gridCol w:w="471"/>
      <w:gridCol w:w="1170"/>
      <w:gridCol w:w="4135"/>
    </w:tblGrid>
    <w:tr w:rsidR="00F13E8E" w:rsidRPr="003E2CFD" w14:paraId="03463D35" w14:textId="77777777" w:rsidTr="007A7B06">
      <w:trPr>
        <w:trHeight w:val="1125"/>
      </w:trPr>
      <w:tc>
        <w:tcPr>
          <w:tcW w:w="225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A5041DA" w14:textId="77777777" w:rsidR="00F13E8E" w:rsidRPr="007A7B06" w:rsidRDefault="00F13E8E" w:rsidP="003E2CFD">
          <w:pPr>
            <w:spacing w:after="0" w:line="240" w:lineRule="auto"/>
            <w:jc w:val="center"/>
            <w:rPr>
              <w:rFonts w:ascii="Calibri" w:eastAsia="Times New Roman" w:hAnsi="Calibri" w:cs="Calibri"/>
              <w:b/>
              <w:bCs/>
              <w:color w:val="000000"/>
              <w:kern w:val="0"/>
              <w:sz w:val="22"/>
              <w:szCs w:val="22"/>
              <w14:ligatures w14:val="none"/>
            </w:rPr>
          </w:pPr>
          <w:r w:rsidRPr="007A7B06">
            <w:rPr>
              <w:rFonts w:ascii="Calibri" w:eastAsia="Times New Roman" w:hAnsi="Calibri" w:cs="Calibri"/>
              <w:b/>
              <w:bCs/>
              <w:color w:val="000000"/>
              <w:kern w:val="0"/>
              <w:sz w:val="22"/>
              <w:szCs w:val="22"/>
              <w14:ligatures w14:val="none"/>
            </w:rPr>
            <w:t>Partes en el Caso</w:t>
          </w:r>
        </w:p>
      </w:tc>
      <w:tc>
        <w:tcPr>
          <w:tcW w:w="8086" w:type="dxa"/>
          <w:gridSpan w:val="6"/>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53FB3F2E" w14:textId="77777777" w:rsidR="00F13E8E" w:rsidRPr="007A7B06" w:rsidRDefault="00F13E8E" w:rsidP="003E2CFD">
          <w:pPr>
            <w:spacing w:after="0" w:line="240" w:lineRule="auto"/>
            <w:jc w:val="center"/>
            <w:rPr>
              <w:rFonts w:ascii="Calibri" w:eastAsia="Times New Roman" w:hAnsi="Calibri" w:cs="Calibri"/>
              <w:b/>
              <w:bCs/>
              <w:kern w:val="0"/>
              <w:sz w:val="18"/>
              <w:szCs w:val="18"/>
              <w14:ligatures w14:val="none"/>
            </w:rPr>
          </w:pPr>
          <w:r w:rsidRPr="007A7B06">
            <w:rPr>
              <w:rFonts w:ascii="Calibri" w:eastAsia="Times New Roman" w:hAnsi="Calibri" w:cs="Calibri"/>
              <w:b/>
              <w:bCs/>
              <w:kern w:val="0"/>
              <w:sz w:val="18"/>
              <w:szCs w:val="18"/>
              <w14:ligatures w14:val="none"/>
            </w:rPr>
            <w:t>Número del Caso</w:t>
          </w:r>
        </w:p>
      </w:tc>
      <w:tc>
        <w:tcPr>
          <w:tcW w:w="1655" w:type="dxa"/>
          <w:gridSpan w:val="2"/>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68B3B2A2" w14:textId="77777777" w:rsidR="00F13E8E" w:rsidRPr="007A7B06" w:rsidRDefault="00F13E8E" w:rsidP="003E2CFD">
          <w:pPr>
            <w:spacing w:after="0" w:line="240" w:lineRule="auto"/>
            <w:jc w:val="center"/>
            <w:rPr>
              <w:rFonts w:ascii="Calibri" w:eastAsia="Times New Roman" w:hAnsi="Calibri" w:cs="Calibri"/>
              <w:b/>
              <w:bCs/>
              <w:kern w:val="0"/>
              <w:sz w:val="18"/>
              <w:szCs w:val="18"/>
              <w14:ligatures w14:val="none"/>
            </w:rPr>
          </w:pPr>
          <w:r w:rsidRPr="007A7B06">
            <w:rPr>
              <w:rFonts w:ascii="Calibri" w:eastAsia="Times New Roman" w:hAnsi="Calibri" w:cs="Calibri"/>
              <w:b/>
              <w:bCs/>
              <w:kern w:val="0"/>
              <w:sz w:val="18"/>
              <w:szCs w:val="18"/>
              <w14:ligatures w14:val="none"/>
            </w:rPr>
            <w:t xml:space="preserve">Representación </w:t>
          </w:r>
        </w:p>
        <w:p w14:paraId="50D8D268" w14:textId="77777777" w:rsidR="00F13E8E" w:rsidRPr="007A7B06" w:rsidRDefault="00F13E8E" w:rsidP="003E2CFD">
          <w:pPr>
            <w:spacing w:after="0" w:line="240" w:lineRule="auto"/>
            <w:jc w:val="center"/>
            <w:rPr>
              <w:rFonts w:ascii="Calibri" w:eastAsia="Times New Roman" w:hAnsi="Calibri" w:cs="Calibri"/>
              <w:b/>
              <w:bCs/>
              <w:kern w:val="0"/>
              <w:sz w:val="18"/>
              <w:szCs w:val="18"/>
              <w14:ligatures w14:val="none"/>
            </w:rPr>
          </w:pPr>
          <w:r w:rsidRPr="007A7B06">
            <w:rPr>
              <w:rFonts w:ascii="Calibri" w:eastAsia="Times New Roman" w:hAnsi="Calibri" w:cs="Calibri"/>
              <w:b/>
              <w:bCs/>
              <w:kern w:val="0"/>
              <w:sz w:val="18"/>
              <w:szCs w:val="18"/>
              <w14:ligatures w14:val="none"/>
            </w:rPr>
            <w:t xml:space="preserve">se encuentra a cargo </w:t>
          </w:r>
        </w:p>
        <w:p w14:paraId="290CCCA7" w14:textId="77777777" w:rsidR="00F13E8E" w:rsidRPr="007A7B06" w:rsidRDefault="00F13E8E" w:rsidP="003E2CFD">
          <w:pPr>
            <w:spacing w:after="0" w:line="240" w:lineRule="auto"/>
            <w:jc w:val="center"/>
            <w:rPr>
              <w:rFonts w:ascii="Calibri" w:eastAsia="Times New Roman" w:hAnsi="Calibri" w:cs="Calibri"/>
              <w:b/>
              <w:bCs/>
              <w:kern w:val="0"/>
              <w:sz w:val="18"/>
              <w:szCs w:val="18"/>
              <w14:ligatures w14:val="none"/>
            </w:rPr>
          </w:pPr>
          <w:r w:rsidRPr="007A7B06">
            <w:rPr>
              <w:rFonts w:ascii="Calibri" w:eastAsia="Times New Roman" w:hAnsi="Calibri" w:cs="Calibri"/>
              <w:b/>
              <w:bCs/>
              <w:kern w:val="0"/>
              <w:sz w:val="18"/>
              <w:szCs w:val="18"/>
              <w14:ligatures w14:val="none"/>
            </w:rPr>
            <w:t xml:space="preserve">del Departamento </w:t>
          </w:r>
        </w:p>
        <w:p w14:paraId="6B13F995" w14:textId="77777777" w:rsidR="00F13E8E" w:rsidRPr="007A7B06" w:rsidRDefault="00F13E8E" w:rsidP="003E2CFD">
          <w:pPr>
            <w:spacing w:after="0" w:line="240" w:lineRule="auto"/>
            <w:jc w:val="center"/>
            <w:rPr>
              <w:rFonts w:ascii="Calibri" w:eastAsia="Times New Roman" w:hAnsi="Calibri" w:cs="Calibri"/>
              <w:b/>
              <w:bCs/>
              <w:kern w:val="0"/>
              <w:sz w:val="18"/>
              <w:szCs w:val="18"/>
              <w14:ligatures w14:val="none"/>
            </w:rPr>
          </w:pPr>
          <w:r w:rsidRPr="007A7B06">
            <w:rPr>
              <w:rFonts w:ascii="Calibri" w:eastAsia="Times New Roman" w:hAnsi="Calibri" w:cs="Calibri"/>
              <w:b/>
              <w:bCs/>
              <w:kern w:val="0"/>
              <w:sz w:val="18"/>
              <w:szCs w:val="18"/>
              <w14:ligatures w14:val="none"/>
            </w:rPr>
            <w:t>de Justicia</w:t>
          </w:r>
        </w:p>
      </w:tc>
      <w:tc>
        <w:tcPr>
          <w:tcW w:w="1412" w:type="dxa"/>
          <w:gridSpan w:val="3"/>
          <w:tcBorders>
            <w:top w:val="single" w:sz="4" w:space="0" w:color="auto"/>
            <w:left w:val="nil"/>
            <w:bottom w:val="single" w:sz="4" w:space="0" w:color="auto"/>
            <w:right w:val="single" w:sz="4" w:space="0" w:color="000000"/>
          </w:tcBorders>
          <w:shd w:val="clear" w:color="auto" w:fill="D9D9D9" w:themeFill="background1" w:themeFillShade="D9"/>
          <w:vAlign w:val="center"/>
          <w:hideMark/>
        </w:tcPr>
        <w:p w14:paraId="785ABDF0" w14:textId="77777777" w:rsidR="00F13E8E" w:rsidRPr="007A7B06" w:rsidRDefault="00F13E8E" w:rsidP="003E2CFD">
          <w:pPr>
            <w:spacing w:after="0" w:line="240" w:lineRule="auto"/>
            <w:jc w:val="center"/>
            <w:rPr>
              <w:rFonts w:ascii="Calibri" w:eastAsia="Times New Roman" w:hAnsi="Calibri" w:cs="Calibri"/>
              <w:b/>
              <w:bCs/>
              <w:kern w:val="0"/>
              <w:sz w:val="18"/>
              <w:szCs w:val="18"/>
              <w14:ligatures w14:val="none"/>
            </w:rPr>
          </w:pPr>
          <w:r w:rsidRPr="007A7B06">
            <w:rPr>
              <w:rFonts w:ascii="Calibri" w:eastAsia="Times New Roman" w:hAnsi="Calibri" w:cs="Calibri"/>
              <w:b/>
              <w:bCs/>
              <w:kern w:val="0"/>
              <w:sz w:val="18"/>
              <w:szCs w:val="18"/>
              <w14:ligatures w14:val="none"/>
            </w:rPr>
            <w:t>Estatus del Caso</w:t>
          </w:r>
        </w:p>
      </w:tc>
      <w:tc>
        <w:tcPr>
          <w:tcW w:w="117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C35A748" w14:textId="77777777" w:rsidR="00F13E8E" w:rsidRPr="007A7B06" w:rsidRDefault="00F13E8E" w:rsidP="003E2CFD">
          <w:pPr>
            <w:spacing w:after="0" w:line="240" w:lineRule="auto"/>
            <w:jc w:val="center"/>
            <w:rPr>
              <w:rFonts w:ascii="Calibri" w:eastAsia="Times New Roman" w:hAnsi="Calibri" w:cs="Calibri"/>
              <w:b/>
              <w:bCs/>
              <w:kern w:val="0"/>
              <w:sz w:val="18"/>
              <w:szCs w:val="18"/>
              <w14:ligatures w14:val="none"/>
            </w:rPr>
          </w:pPr>
          <w:r w:rsidRPr="007A7B06">
            <w:rPr>
              <w:rFonts w:ascii="Calibri" w:eastAsia="Times New Roman" w:hAnsi="Calibri" w:cs="Calibri"/>
              <w:b/>
              <w:bCs/>
              <w:kern w:val="0"/>
              <w:sz w:val="18"/>
              <w:szCs w:val="18"/>
              <w14:ligatures w14:val="none"/>
            </w:rPr>
            <w:t xml:space="preserve">Monto </w:t>
          </w:r>
        </w:p>
      </w:tc>
      <w:tc>
        <w:tcPr>
          <w:tcW w:w="4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15F622D" w14:textId="77777777" w:rsidR="00F13E8E" w:rsidRPr="007A7B06" w:rsidRDefault="00F13E8E" w:rsidP="003E2CFD">
          <w:pPr>
            <w:spacing w:after="0" w:line="240" w:lineRule="auto"/>
            <w:jc w:val="center"/>
            <w:rPr>
              <w:rFonts w:ascii="Calibri" w:eastAsia="Times New Roman" w:hAnsi="Calibri" w:cs="Calibri"/>
              <w:b/>
              <w:bCs/>
              <w:kern w:val="0"/>
              <w:sz w:val="18"/>
              <w:szCs w:val="18"/>
              <w14:ligatures w14:val="none"/>
            </w:rPr>
          </w:pPr>
          <w:r w:rsidRPr="007A7B06">
            <w:rPr>
              <w:rFonts w:ascii="Calibri" w:eastAsia="Times New Roman" w:hAnsi="Calibri" w:cs="Calibri"/>
              <w:b/>
              <w:bCs/>
              <w:kern w:val="0"/>
              <w:sz w:val="18"/>
              <w:szCs w:val="18"/>
              <w14:ligatures w14:val="none"/>
            </w:rPr>
            <w:t>Comentarios</w:t>
          </w:r>
        </w:p>
      </w:tc>
    </w:tr>
    <w:tr w:rsidR="00F13E8E" w:rsidRPr="003E2CFD" w14:paraId="33CF41B6" w14:textId="77777777" w:rsidTr="007A7B06">
      <w:trPr>
        <w:cantSplit/>
        <w:trHeight w:val="1770"/>
      </w:trPr>
      <w:tc>
        <w:tcPr>
          <w:tcW w:w="225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A6BA19" w14:textId="77777777" w:rsidR="00F13E8E" w:rsidRPr="007A7B06" w:rsidRDefault="00F13E8E" w:rsidP="003E2CFD">
          <w:pPr>
            <w:spacing w:after="0" w:line="240" w:lineRule="auto"/>
            <w:rPr>
              <w:rFonts w:ascii="Calibri" w:eastAsia="Times New Roman" w:hAnsi="Calibri" w:cs="Calibri"/>
              <w:b/>
              <w:bCs/>
              <w:color w:val="000000"/>
              <w:kern w:val="0"/>
              <w:sz w:val="22"/>
              <w:szCs w:val="22"/>
              <w14:ligatures w14:val="none"/>
            </w:rPr>
          </w:pPr>
        </w:p>
      </w:tc>
      <w:tc>
        <w:tcPr>
          <w:tcW w:w="1348" w:type="dxa"/>
          <w:tcBorders>
            <w:top w:val="nil"/>
            <w:left w:val="nil"/>
            <w:bottom w:val="single" w:sz="4" w:space="0" w:color="auto"/>
            <w:right w:val="single" w:sz="4" w:space="0" w:color="auto"/>
          </w:tcBorders>
          <w:shd w:val="clear" w:color="auto" w:fill="D9D9D9" w:themeFill="background1" w:themeFillShade="D9"/>
          <w:vAlign w:val="center"/>
          <w:hideMark/>
        </w:tcPr>
        <w:p w14:paraId="6F3E327D" w14:textId="77777777" w:rsidR="00F13E8E" w:rsidRPr="007A7B06" w:rsidRDefault="00F13E8E" w:rsidP="003E2CFD">
          <w:pPr>
            <w:spacing w:after="0" w:line="240" w:lineRule="auto"/>
            <w:jc w:val="center"/>
            <w:rPr>
              <w:rFonts w:ascii="Calibri" w:eastAsia="Times New Roman" w:hAnsi="Calibri" w:cs="Calibri"/>
              <w:b/>
              <w:bCs/>
              <w:kern w:val="0"/>
              <w:sz w:val="16"/>
              <w:szCs w:val="16"/>
              <w14:ligatures w14:val="none"/>
            </w:rPr>
          </w:pPr>
          <w:r w:rsidRPr="007A7B06">
            <w:rPr>
              <w:rFonts w:ascii="Calibri" w:eastAsia="Times New Roman" w:hAnsi="Calibri" w:cs="Calibri"/>
              <w:b/>
              <w:bCs/>
              <w:kern w:val="0"/>
              <w:sz w:val="16"/>
              <w:szCs w:val="16"/>
              <w14:ligatures w14:val="none"/>
            </w:rPr>
            <w:t xml:space="preserve">Número </w:t>
          </w:r>
        </w:p>
        <w:p w14:paraId="4023DB59" w14:textId="77777777" w:rsidR="00F13E8E" w:rsidRPr="007A7B06" w:rsidRDefault="00F13E8E" w:rsidP="003E2CFD">
          <w:pPr>
            <w:spacing w:after="0" w:line="240" w:lineRule="auto"/>
            <w:jc w:val="center"/>
            <w:rPr>
              <w:rFonts w:ascii="Calibri" w:eastAsia="Times New Roman" w:hAnsi="Calibri" w:cs="Calibri"/>
              <w:b/>
              <w:bCs/>
              <w:kern w:val="0"/>
              <w:sz w:val="16"/>
              <w:szCs w:val="16"/>
              <w14:ligatures w14:val="none"/>
            </w:rPr>
          </w:pPr>
          <w:r w:rsidRPr="007A7B06">
            <w:rPr>
              <w:rFonts w:ascii="Calibri" w:eastAsia="Times New Roman" w:hAnsi="Calibri" w:cs="Calibri"/>
              <w:b/>
              <w:bCs/>
              <w:kern w:val="0"/>
              <w:sz w:val="16"/>
              <w:szCs w:val="16"/>
              <w14:ligatures w14:val="none"/>
            </w:rPr>
            <w:t>Administrativo</w:t>
          </w:r>
        </w:p>
      </w:tc>
      <w:tc>
        <w:tcPr>
          <w:tcW w:w="1349" w:type="dxa"/>
          <w:tcBorders>
            <w:top w:val="nil"/>
            <w:left w:val="nil"/>
            <w:bottom w:val="single" w:sz="4" w:space="0" w:color="auto"/>
            <w:right w:val="single" w:sz="4" w:space="0" w:color="auto"/>
          </w:tcBorders>
          <w:shd w:val="clear" w:color="auto" w:fill="D9D9D9" w:themeFill="background1" w:themeFillShade="D9"/>
          <w:vAlign w:val="center"/>
          <w:hideMark/>
        </w:tcPr>
        <w:p w14:paraId="3AA2BB6D" w14:textId="77777777" w:rsidR="00F13E8E" w:rsidRPr="007A7B06" w:rsidRDefault="00F13E8E" w:rsidP="003E2CFD">
          <w:pPr>
            <w:spacing w:after="0" w:line="240" w:lineRule="auto"/>
            <w:jc w:val="center"/>
            <w:rPr>
              <w:rFonts w:ascii="Calibri" w:eastAsia="Times New Roman" w:hAnsi="Calibri" w:cs="Calibri"/>
              <w:b/>
              <w:bCs/>
              <w:kern w:val="0"/>
              <w:sz w:val="16"/>
              <w:szCs w:val="16"/>
              <w14:ligatures w14:val="none"/>
            </w:rPr>
          </w:pPr>
          <w:r w:rsidRPr="007A7B06">
            <w:rPr>
              <w:rFonts w:ascii="Calibri" w:eastAsia="Times New Roman" w:hAnsi="Calibri" w:cs="Calibri"/>
              <w:b/>
              <w:bCs/>
              <w:kern w:val="0"/>
              <w:sz w:val="16"/>
              <w:szCs w:val="16"/>
              <w14:ligatures w14:val="none"/>
            </w:rPr>
            <w:t xml:space="preserve">Número </w:t>
          </w:r>
        </w:p>
        <w:p w14:paraId="0FFD1320" w14:textId="77777777" w:rsidR="00F13E8E" w:rsidRPr="007A7B06" w:rsidRDefault="00F13E8E" w:rsidP="003E2CFD">
          <w:pPr>
            <w:spacing w:after="0" w:line="240" w:lineRule="auto"/>
            <w:jc w:val="center"/>
            <w:rPr>
              <w:rFonts w:ascii="Calibri" w:eastAsia="Times New Roman" w:hAnsi="Calibri" w:cs="Calibri"/>
              <w:b/>
              <w:bCs/>
              <w:kern w:val="0"/>
              <w:sz w:val="16"/>
              <w:szCs w:val="16"/>
              <w14:ligatures w14:val="none"/>
            </w:rPr>
          </w:pPr>
          <w:r w:rsidRPr="007A7B06">
            <w:rPr>
              <w:rFonts w:ascii="Calibri" w:eastAsia="Times New Roman" w:hAnsi="Calibri" w:cs="Calibri"/>
              <w:b/>
              <w:bCs/>
              <w:kern w:val="0"/>
              <w:sz w:val="16"/>
              <w:szCs w:val="16"/>
              <w14:ligatures w14:val="none"/>
            </w:rPr>
            <w:t>Primera Instancia</w:t>
          </w:r>
        </w:p>
      </w:tc>
      <w:tc>
        <w:tcPr>
          <w:tcW w:w="1348" w:type="dxa"/>
          <w:tcBorders>
            <w:top w:val="nil"/>
            <w:left w:val="nil"/>
            <w:bottom w:val="single" w:sz="4" w:space="0" w:color="auto"/>
            <w:right w:val="single" w:sz="4" w:space="0" w:color="auto"/>
          </w:tcBorders>
          <w:shd w:val="clear" w:color="auto" w:fill="D9D9D9" w:themeFill="background1" w:themeFillShade="D9"/>
          <w:vAlign w:val="center"/>
          <w:hideMark/>
        </w:tcPr>
        <w:p w14:paraId="7AD373E2" w14:textId="77777777" w:rsidR="00F13E8E" w:rsidRPr="007A7B06" w:rsidRDefault="00F13E8E" w:rsidP="003E2CFD">
          <w:pPr>
            <w:spacing w:after="0" w:line="240" w:lineRule="auto"/>
            <w:jc w:val="center"/>
            <w:rPr>
              <w:rFonts w:ascii="Calibri" w:eastAsia="Times New Roman" w:hAnsi="Calibri" w:cs="Calibri"/>
              <w:b/>
              <w:bCs/>
              <w:kern w:val="0"/>
              <w:sz w:val="16"/>
              <w:szCs w:val="16"/>
              <w14:ligatures w14:val="none"/>
            </w:rPr>
          </w:pPr>
          <w:r w:rsidRPr="007A7B06">
            <w:rPr>
              <w:rFonts w:ascii="Calibri" w:eastAsia="Times New Roman" w:hAnsi="Calibri" w:cs="Calibri"/>
              <w:b/>
              <w:bCs/>
              <w:kern w:val="0"/>
              <w:sz w:val="16"/>
              <w:szCs w:val="16"/>
              <w14:ligatures w14:val="none"/>
            </w:rPr>
            <w:t>Número TA</w:t>
          </w:r>
        </w:p>
      </w:tc>
      <w:tc>
        <w:tcPr>
          <w:tcW w:w="1349" w:type="dxa"/>
          <w:tcBorders>
            <w:top w:val="nil"/>
            <w:left w:val="nil"/>
            <w:bottom w:val="single" w:sz="4" w:space="0" w:color="auto"/>
            <w:right w:val="single" w:sz="4" w:space="0" w:color="auto"/>
          </w:tcBorders>
          <w:shd w:val="clear" w:color="auto" w:fill="D9D9D9" w:themeFill="background1" w:themeFillShade="D9"/>
          <w:vAlign w:val="center"/>
          <w:hideMark/>
        </w:tcPr>
        <w:p w14:paraId="1D11AD53" w14:textId="77777777" w:rsidR="00F13E8E" w:rsidRPr="007A7B06" w:rsidRDefault="00F13E8E" w:rsidP="003E2CFD">
          <w:pPr>
            <w:spacing w:after="0" w:line="240" w:lineRule="auto"/>
            <w:jc w:val="center"/>
            <w:rPr>
              <w:rFonts w:ascii="Calibri" w:eastAsia="Times New Roman" w:hAnsi="Calibri" w:cs="Calibri"/>
              <w:b/>
              <w:bCs/>
              <w:kern w:val="0"/>
              <w:sz w:val="16"/>
              <w:szCs w:val="16"/>
              <w14:ligatures w14:val="none"/>
            </w:rPr>
          </w:pPr>
          <w:r w:rsidRPr="007A7B06">
            <w:rPr>
              <w:rFonts w:ascii="Calibri" w:eastAsia="Times New Roman" w:hAnsi="Calibri" w:cs="Calibri"/>
              <w:b/>
              <w:bCs/>
              <w:kern w:val="0"/>
              <w:sz w:val="16"/>
              <w:szCs w:val="16"/>
              <w14:ligatures w14:val="none"/>
            </w:rPr>
            <w:t>Número TS</w:t>
          </w:r>
        </w:p>
      </w:tc>
      <w:tc>
        <w:tcPr>
          <w:tcW w:w="1348" w:type="dxa"/>
          <w:tcBorders>
            <w:top w:val="nil"/>
            <w:left w:val="nil"/>
            <w:bottom w:val="single" w:sz="4" w:space="0" w:color="auto"/>
            <w:right w:val="single" w:sz="4" w:space="0" w:color="auto"/>
          </w:tcBorders>
          <w:shd w:val="clear" w:color="auto" w:fill="D9D9D9" w:themeFill="background1" w:themeFillShade="D9"/>
          <w:vAlign w:val="center"/>
          <w:hideMark/>
        </w:tcPr>
        <w:p w14:paraId="4A33052B" w14:textId="77777777" w:rsidR="00F13E8E" w:rsidRPr="007A7B06" w:rsidRDefault="00F13E8E" w:rsidP="003E2CFD">
          <w:pPr>
            <w:spacing w:after="0" w:line="240" w:lineRule="auto"/>
            <w:jc w:val="center"/>
            <w:rPr>
              <w:rFonts w:ascii="Calibri" w:eastAsia="Times New Roman" w:hAnsi="Calibri" w:cs="Calibri"/>
              <w:b/>
              <w:bCs/>
              <w:kern w:val="0"/>
              <w:sz w:val="16"/>
              <w:szCs w:val="16"/>
              <w14:ligatures w14:val="none"/>
            </w:rPr>
          </w:pPr>
          <w:r w:rsidRPr="007A7B06">
            <w:rPr>
              <w:rFonts w:ascii="Calibri" w:eastAsia="Times New Roman" w:hAnsi="Calibri" w:cs="Calibri"/>
              <w:b/>
              <w:bCs/>
              <w:kern w:val="0"/>
              <w:sz w:val="16"/>
              <w:szCs w:val="16"/>
              <w14:ligatures w14:val="none"/>
            </w:rPr>
            <w:t xml:space="preserve">Número </w:t>
          </w:r>
        </w:p>
        <w:p w14:paraId="225A2F6B" w14:textId="77777777" w:rsidR="00F13E8E" w:rsidRPr="007A7B06" w:rsidRDefault="00F13E8E" w:rsidP="003E2CFD">
          <w:pPr>
            <w:spacing w:after="0" w:line="240" w:lineRule="auto"/>
            <w:jc w:val="center"/>
            <w:rPr>
              <w:rFonts w:ascii="Calibri" w:eastAsia="Times New Roman" w:hAnsi="Calibri" w:cs="Calibri"/>
              <w:b/>
              <w:bCs/>
              <w:kern w:val="0"/>
              <w:sz w:val="16"/>
              <w:szCs w:val="16"/>
              <w14:ligatures w14:val="none"/>
            </w:rPr>
          </w:pPr>
          <w:r w:rsidRPr="007A7B06">
            <w:rPr>
              <w:rFonts w:ascii="Calibri" w:eastAsia="Times New Roman" w:hAnsi="Calibri" w:cs="Calibri"/>
              <w:b/>
              <w:bCs/>
              <w:kern w:val="0"/>
              <w:sz w:val="16"/>
              <w:szCs w:val="16"/>
              <w14:ligatures w14:val="none"/>
            </w:rPr>
            <w:t>Caso Federal</w:t>
          </w:r>
        </w:p>
      </w:tc>
      <w:tc>
        <w:tcPr>
          <w:tcW w:w="1344" w:type="dxa"/>
          <w:tcBorders>
            <w:top w:val="nil"/>
            <w:left w:val="nil"/>
            <w:bottom w:val="single" w:sz="4" w:space="0" w:color="auto"/>
            <w:right w:val="single" w:sz="4" w:space="0" w:color="auto"/>
          </w:tcBorders>
          <w:shd w:val="clear" w:color="auto" w:fill="D9D9D9" w:themeFill="background1" w:themeFillShade="D9"/>
          <w:vAlign w:val="center"/>
          <w:hideMark/>
        </w:tcPr>
        <w:p w14:paraId="78D9EBD1" w14:textId="77777777" w:rsidR="00F13E8E" w:rsidRPr="007A7B06" w:rsidRDefault="00F13E8E" w:rsidP="003E2CFD">
          <w:pPr>
            <w:spacing w:after="0" w:line="240" w:lineRule="auto"/>
            <w:jc w:val="center"/>
            <w:rPr>
              <w:rFonts w:ascii="Calibri" w:eastAsia="Times New Roman" w:hAnsi="Calibri" w:cs="Calibri"/>
              <w:b/>
              <w:bCs/>
              <w:kern w:val="0"/>
              <w:sz w:val="16"/>
              <w:szCs w:val="16"/>
              <w14:ligatures w14:val="none"/>
            </w:rPr>
          </w:pPr>
          <w:r w:rsidRPr="007A7B06">
            <w:rPr>
              <w:rFonts w:ascii="Calibri" w:eastAsia="Times New Roman" w:hAnsi="Calibri" w:cs="Calibri"/>
              <w:b/>
              <w:bCs/>
              <w:kern w:val="0"/>
              <w:sz w:val="16"/>
              <w:szCs w:val="16"/>
              <w14:ligatures w14:val="none"/>
            </w:rPr>
            <w:t xml:space="preserve">Número Foro </w:t>
          </w:r>
        </w:p>
        <w:p w14:paraId="5B38A9DC" w14:textId="77777777" w:rsidR="00F13E8E" w:rsidRPr="007A7B06" w:rsidRDefault="00F13E8E" w:rsidP="003E2CFD">
          <w:pPr>
            <w:spacing w:after="0" w:line="240" w:lineRule="auto"/>
            <w:jc w:val="center"/>
            <w:rPr>
              <w:rFonts w:ascii="Calibri" w:eastAsia="Times New Roman" w:hAnsi="Calibri" w:cs="Calibri"/>
              <w:b/>
              <w:bCs/>
              <w:kern w:val="0"/>
              <w:sz w:val="16"/>
              <w:szCs w:val="16"/>
              <w14:ligatures w14:val="none"/>
            </w:rPr>
          </w:pPr>
          <w:r w:rsidRPr="007A7B06">
            <w:rPr>
              <w:rFonts w:ascii="Calibri" w:eastAsia="Times New Roman" w:hAnsi="Calibri" w:cs="Calibri"/>
              <w:b/>
              <w:bCs/>
              <w:kern w:val="0"/>
              <w:sz w:val="16"/>
              <w:szCs w:val="16"/>
              <w14:ligatures w14:val="none"/>
            </w:rPr>
            <w:t>más Reciente</w:t>
          </w:r>
        </w:p>
      </w:tc>
      <w:tc>
        <w:tcPr>
          <w:tcW w:w="830" w:type="dxa"/>
          <w:tcBorders>
            <w:top w:val="nil"/>
            <w:left w:val="nil"/>
            <w:bottom w:val="single" w:sz="4" w:space="0" w:color="auto"/>
            <w:right w:val="single" w:sz="4" w:space="0" w:color="auto"/>
          </w:tcBorders>
          <w:shd w:val="clear" w:color="auto" w:fill="D9D9D9" w:themeFill="background1" w:themeFillShade="D9"/>
          <w:noWrap/>
          <w:vAlign w:val="center"/>
          <w:hideMark/>
        </w:tcPr>
        <w:p w14:paraId="27D93D35" w14:textId="77777777" w:rsidR="00F13E8E" w:rsidRPr="007A7B06" w:rsidRDefault="00F13E8E" w:rsidP="003E2CFD">
          <w:pPr>
            <w:spacing w:after="0" w:line="240" w:lineRule="auto"/>
            <w:jc w:val="center"/>
            <w:rPr>
              <w:rFonts w:ascii="Calibri" w:eastAsia="Times New Roman" w:hAnsi="Calibri" w:cs="Calibri"/>
              <w:b/>
              <w:bCs/>
              <w:kern w:val="0"/>
              <w:sz w:val="16"/>
              <w:szCs w:val="16"/>
              <w14:ligatures w14:val="none"/>
            </w:rPr>
          </w:pPr>
          <w:r w:rsidRPr="007A7B06">
            <w:rPr>
              <w:rFonts w:ascii="Calibri" w:eastAsia="Times New Roman" w:hAnsi="Calibri" w:cs="Calibri"/>
              <w:b/>
              <w:bCs/>
              <w:kern w:val="0"/>
              <w:sz w:val="16"/>
              <w:szCs w:val="16"/>
              <w14:ligatures w14:val="none"/>
            </w:rPr>
            <w:t>Sí</w:t>
          </w:r>
        </w:p>
      </w:tc>
      <w:tc>
        <w:tcPr>
          <w:tcW w:w="825" w:type="dxa"/>
          <w:tcBorders>
            <w:top w:val="nil"/>
            <w:left w:val="nil"/>
            <w:bottom w:val="single" w:sz="4" w:space="0" w:color="auto"/>
            <w:right w:val="single" w:sz="4" w:space="0" w:color="auto"/>
          </w:tcBorders>
          <w:shd w:val="clear" w:color="auto" w:fill="D9D9D9" w:themeFill="background1" w:themeFillShade="D9"/>
          <w:vAlign w:val="center"/>
        </w:tcPr>
        <w:p w14:paraId="540DDD64" w14:textId="77777777" w:rsidR="00F13E8E" w:rsidRPr="007A7B06" w:rsidRDefault="00F13E8E" w:rsidP="003E2CFD">
          <w:pPr>
            <w:spacing w:after="0" w:line="240" w:lineRule="auto"/>
            <w:jc w:val="center"/>
            <w:rPr>
              <w:rFonts w:ascii="Calibri" w:eastAsia="Times New Roman" w:hAnsi="Calibri" w:cs="Calibri"/>
              <w:b/>
              <w:bCs/>
              <w:kern w:val="0"/>
              <w:sz w:val="16"/>
              <w:szCs w:val="16"/>
              <w14:ligatures w14:val="none"/>
            </w:rPr>
          </w:pPr>
          <w:r w:rsidRPr="007A7B06">
            <w:rPr>
              <w:rFonts w:ascii="Calibri" w:eastAsia="Times New Roman" w:hAnsi="Calibri" w:cs="Calibri"/>
              <w:b/>
              <w:bCs/>
              <w:kern w:val="0"/>
              <w:sz w:val="16"/>
              <w:szCs w:val="16"/>
              <w14:ligatures w14:val="none"/>
            </w:rPr>
            <w:t>No</w:t>
          </w:r>
        </w:p>
      </w:tc>
      <w:tc>
        <w:tcPr>
          <w:tcW w:w="422" w:type="dxa"/>
          <w:tcBorders>
            <w:top w:val="nil"/>
            <w:left w:val="nil"/>
            <w:bottom w:val="single" w:sz="4" w:space="0" w:color="auto"/>
            <w:right w:val="single" w:sz="4" w:space="0" w:color="auto"/>
          </w:tcBorders>
          <w:shd w:val="clear" w:color="auto" w:fill="D9D9D9" w:themeFill="background1" w:themeFillShade="D9"/>
          <w:noWrap/>
          <w:textDirection w:val="btLr"/>
          <w:vAlign w:val="center"/>
          <w:hideMark/>
        </w:tcPr>
        <w:p w14:paraId="328F96D9" w14:textId="77777777" w:rsidR="00F13E8E" w:rsidRPr="007A7B06" w:rsidRDefault="00F13E8E" w:rsidP="007A7B06">
          <w:pPr>
            <w:spacing w:after="120" w:line="240" w:lineRule="auto"/>
            <w:ind w:left="115" w:right="115"/>
            <w:jc w:val="center"/>
            <w:rPr>
              <w:rFonts w:ascii="Calibri" w:eastAsia="Times New Roman" w:hAnsi="Calibri" w:cs="Calibri"/>
              <w:b/>
              <w:bCs/>
              <w:kern w:val="0"/>
              <w:sz w:val="16"/>
              <w:szCs w:val="16"/>
              <w14:ligatures w14:val="none"/>
            </w:rPr>
          </w:pPr>
          <w:r w:rsidRPr="007A7B06">
            <w:rPr>
              <w:rFonts w:ascii="Calibri" w:eastAsia="Times New Roman" w:hAnsi="Calibri" w:cs="Calibri"/>
              <w:b/>
              <w:bCs/>
              <w:kern w:val="0"/>
              <w:sz w:val="16"/>
              <w:szCs w:val="16"/>
              <w14:ligatures w14:val="none"/>
            </w:rPr>
            <w:t>Activo</w:t>
          </w:r>
        </w:p>
        <w:p w14:paraId="499AD2A1" w14:textId="77777777" w:rsidR="00F13E8E" w:rsidRPr="007A7B06" w:rsidRDefault="00F13E8E" w:rsidP="007A7B06">
          <w:pPr>
            <w:spacing w:after="120" w:line="240" w:lineRule="auto"/>
            <w:ind w:left="115" w:right="115"/>
            <w:jc w:val="center"/>
            <w:rPr>
              <w:rFonts w:ascii="Calibri" w:eastAsia="Times New Roman" w:hAnsi="Calibri" w:cs="Calibri"/>
              <w:b/>
              <w:bCs/>
              <w:kern w:val="0"/>
              <w:sz w:val="16"/>
              <w:szCs w:val="16"/>
              <w14:ligatures w14:val="none"/>
            </w:rPr>
          </w:pPr>
        </w:p>
        <w:p w14:paraId="538F557C" w14:textId="77777777" w:rsidR="00F13E8E" w:rsidRPr="007A7B06" w:rsidRDefault="00F13E8E" w:rsidP="007A7B06">
          <w:pPr>
            <w:spacing w:after="0" w:line="240" w:lineRule="auto"/>
            <w:ind w:left="113" w:right="113"/>
            <w:jc w:val="center"/>
            <w:rPr>
              <w:rFonts w:ascii="Calibri" w:eastAsia="Times New Roman" w:hAnsi="Calibri" w:cs="Calibri"/>
              <w:b/>
              <w:bCs/>
              <w:kern w:val="0"/>
              <w:sz w:val="16"/>
              <w:szCs w:val="16"/>
              <w14:ligatures w14:val="none"/>
            </w:rPr>
          </w:pPr>
        </w:p>
        <w:p w14:paraId="3CCF5E93" w14:textId="77777777" w:rsidR="00F13E8E" w:rsidRPr="007A7B06" w:rsidRDefault="00F13E8E" w:rsidP="007A7B06">
          <w:pPr>
            <w:spacing w:after="0" w:line="240" w:lineRule="auto"/>
            <w:ind w:left="113" w:right="113"/>
            <w:jc w:val="center"/>
            <w:rPr>
              <w:rFonts w:ascii="Calibri" w:eastAsia="Times New Roman" w:hAnsi="Calibri" w:cs="Calibri"/>
              <w:b/>
              <w:bCs/>
              <w:kern w:val="0"/>
              <w:sz w:val="16"/>
              <w:szCs w:val="16"/>
              <w14:ligatures w14:val="none"/>
            </w:rPr>
          </w:pPr>
        </w:p>
      </w:tc>
      <w:tc>
        <w:tcPr>
          <w:tcW w:w="519" w:type="dxa"/>
          <w:tcBorders>
            <w:top w:val="nil"/>
            <w:left w:val="nil"/>
            <w:bottom w:val="single" w:sz="4" w:space="0" w:color="auto"/>
            <w:right w:val="single" w:sz="4" w:space="0" w:color="auto"/>
          </w:tcBorders>
          <w:shd w:val="clear" w:color="auto" w:fill="D9D9D9" w:themeFill="background1" w:themeFillShade="D9"/>
          <w:textDirection w:val="btLr"/>
          <w:vAlign w:val="center"/>
          <w:hideMark/>
        </w:tcPr>
        <w:p w14:paraId="7A6BEFC9" w14:textId="77777777" w:rsidR="00F13E8E" w:rsidRPr="007A7B06" w:rsidRDefault="00F13E8E" w:rsidP="00B17BEF">
          <w:pPr>
            <w:spacing w:after="0" w:line="240" w:lineRule="auto"/>
            <w:jc w:val="center"/>
            <w:rPr>
              <w:rFonts w:ascii="Calibri" w:eastAsia="Times New Roman" w:hAnsi="Calibri" w:cs="Calibri"/>
              <w:b/>
              <w:bCs/>
              <w:kern w:val="0"/>
              <w:sz w:val="16"/>
              <w:szCs w:val="16"/>
              <w14:ligatures w14:val="none"/>
            </w:rPr>
          </w:pPr>
          <w:r w:rsidRPr="007A7B06">
            <w:rPr>
              <w:rFonts w:ascii="Calibri" w:eastAsia="Times New Roman" w:hAnsi="Calibri" w:cs="Calibri"/>
              <w:b/>
              <w:bCs/>
              <w:kern w:val="0"/>
              <w:sz w:val="16"/>
              <w:szCs w:val="16"/>
              <w14:ligatures w14:val="none"/>
            </w:rPr>
            <w:t>Sentencia Final y Firme</w:t>
          </w:r>
        </w:p>
      </w:tc>
      <w:tc>
        <w:tcPr>
          <w:tcW w:w="471" w:type="dxa"/>
          <w:tcBorders>
            <w:top w:val="nil"/>
            <w:left w:val="nil"/>
            <w:bottom w:val="single" w:sz="4" w:space="0" w:color="auto"/>
            <w:right w:val="single" w:sz="4" w:space="0" w:color="auto"/>
          </w:tcBorders>
          <w:shd w:val="clear" w:color="auto" w:fill="D9D9D9" w:themeFill="background1" w:themeFillShade="D9"/>
          <w:textDirection w:val="btLr"/>
          <w:vAlign w:val="center"/>
          <w:hideMark/>
        </w:tcPr>
        <w:p w14:paraId="19DAEFAD" w14:textId="77777777" w:rsidR="00F13E8E" w:rsidRPr="007A7B06" w:rsidRDefault="00F13E8E" w:rsidP="00B17BEF">
          <w:pPr>
            <w:spacing w:after="0" w:line="240" w:lineRule="auto"/>
            <w:jc w:val="center"/>
            <w:rPr>
              <w:rFonts w:ascii="Calibri" w:eastAsia="Times New Roman" w:hAnsi="Calibri" w:cs="Calibri"/>
              <w:b/>
              <w:bCs/>
              <w:kern w:val="0"/>
              <w:sz w:val="16"/>
              <w:szCs w:val="16"/>
              <w14:ligatures w14:val="none"/>
            </w:rPr>
          </w:pPr>
          <w:r w:rsidRPr="007A7B06">
            <w:rPr>
              <w:rFonts w:ascii="Calibri" w:eastAsia="Times New Roman" w:hAnsi="Calibri" w:cs="Calibri"/>
              <w:b/>
              <w:bCs/>
              <w:kern w:val="0"/>
              <w:sz w:val="16"/>
              <w:szCs w:val="16"/>
              <w14:ligatures w14:val="none"/>
            </w:rPr>
            <w:t>Acuerdo de Transacción</w:t>
          </w:r>
        </w:p>
      </w:tc>
      <w:tc>
        <w:tcPr>
          <w:tcW w:w="117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F298AD9" w14:textId="77777777" w:rsidR="00F13E8E" w:rsidRPr="007A7B06" w:rsidRDefault="00F13E8E" w:rsidP="003E2CFD">
          <w:pPr>
            <w:spacing w:after="0" w:line="240" w:lineRule="auto"/>
            <w:rPr>
              <w:rFonts w:ascii="Calibri" w:eastAsia="Times New Roman" w:hAnsi="Calibri" w:cs="Calibri"/>
              <w:b/>
              <w:bCs/>
              <w:kern w:val="0"/>
              <w:sz w:val="18"/>
              <w:szCs w:val="18"/>
              <w14:ligatures w14:val="none"/>
            </w:rPr>
          </w:pPr>
        </w:p>
      </w:tc>
      <w:tc>
        <w:tcPr>
          <w:tcW w:w="4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C0A036" w14:textId="77777777" w:rsidR="00F13E8E" w:rsidRPr="007A7B06" w:rsidRDefault="00F13E8E" w:rsidP="003E2CFD">
          <w:pPr>
            <w:spacing w:after="0" w:line="240" w:lineRule="auto"/>
            <w:rPr>
              <w:rFonts w:ascii="Calibri" w:eastAsia="Times New Roman" w:hAnsi="Calibri" w:cs="Calibri"/>
              <w:b/>
              <w:bCs/>
              <w:kern w:val="0"/>
              <w:sz w:val="18"/>
              <w:szCs w:val="18"/>
              <w14:ligatures w14:val="none"/>
            </w:rPr>
          </w:pPr>
        </w:p>
      </w:tc>
    </w:tr>
  </w:tbl>
  <w:p w14:paraId="3118B3F7" w14:textId="77777777" w:rsidR="00F13E8E" w:rsidRDefault="00F13E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CFD"/>
    <w:rsid w:val="00004ADB"/>
    <w:rsid w:val="00014FA7"/>
    <w:rsid w:val="000250B5"/>
    <w:rsid w:val="00034CE9"/>
    <w:rsid w:val="00045A02"/>
    <w:rsid w:val="00057838"/>
    <w:rsid w:val="00066D63"/>
    <w:rsid w:val="000722D0"/>
    <w:rsid w:val="000A261C"/>
    <w:rsid w:val="00104B81"/>
    <w:rsid w:val="001105F9"/>
    <w:rsid w:val="00120D21"/>
    <w:rsid w:val="00122934"/>
    <w:rsid w:val="00173AF4"/>
    <w:rsid w:val="00191AAB"/>
    <w:rsid w:val="00204D0B"/>
    <w:rsid w:val="00236B17"/>
    <w:rsid w:val="002901AB"/>
    <w:rsid w:val="00291EA0"/>
    <w:rsid w:val="003C78CF"/>
    <w:rsid w:val="003E2CFD"/>
    <w:rsid w:val="00404348"/>
    <w:rsid w:val="00440F06"/>
    <w:rsid w:val="00450019"/>
    <w:rsid w:val="00486824"/>
    <w:rsid w:val="004D0365"/>
    <w:rsid w:val="0051720F"/>
    <w:rsid w:val="0056610D"/>
    <w:rsid w:val="005821D5"/>
    <w:rsid w:val="005C4726"/>
    <w:rsid w:val="005C76C8"/>
    <w:rsid w:val="005E0BFE"/>
    <w:rsid w:val="006124E1"/>
    <w:rsid w:val="0061487F"/>
    <w:rsid w:val="0068014A"/>
    <w:rsid w:val="006C32CD"/>
    <w:rsid w:val="006D6A5D"/>
    <w:rsid w:val="00740BD3"/>
    <w:rsid w:val="007A341B"/>
    <w:rsid w:val="007A7B06"/>
    <w:rsid w:val="007C0849"/>
    <w:rsid w:val="007E6DCB"/>
    <w:rsid w:val="00834785"/>
    <w:rsid w:val="008609B8"/>
    <w:rsid w:val="0086685E"/>
    <w:rsid w:val="008703BD"/>
    <w:rsid w:val="008843A5"/>
    <w:rsid w:val="0089483F"/>
    <w:rsid w:val="00940CA7"/>
    <w:rsid w:val="009625BF"/>
    <w:rsid w:val="00984FBA"/>
    <w:rsid w:val="009E2447"/>
    <w:rsid w:val="009F7324"/>
    <w:rsid w:val="00A0456E"/>
    <w:rsid w:val="00A16CB0"/>
    <w:rsid w:val="00A27A7E"/>
    <w:rsid w:val="00AA3179"/>
    <w:rsid w:val="00AD2FCA"/>
    <w:rsid w:val="00B17BEF"/>
    <w:rsid w:val="00B7474C"/>
    <w:rsid w:val="00BC1D0D"/>
    <w:rsid w:val="00BC504E"/>
    <w:rsid w:val="00C2187C"/>
    <w:rsid w:val="00C4238E"/>
    <w:rsid w:val="00C51523"/>
    <w:rsid w:val="00CA7101"/>
    <w:rsid w:val="00CE1A64"/>
    <w:rsid w:val="00CF7E40"/>
    <w:rsid w:val="00D50828"/>
    <w:rsid w:val="00D930DC"/>
    <w:rsid w:val="00E05F0E"/>
    <w:rsid w:val="00E223D2"/>
    <w:rsid w:val="00E440BE"/>
    <w:rsid w:val="00EC0A05"/>
    <w:rsid w:val="00EF144F"/>
    <w:rsid w:val="00F13E8E"/>
    <w:rsid w:val="00F44157"/>
    <w:rsid w:val="00F83679"/>
    <w:rsid w:val="00FA23F9"/>
  </w:rsids>
  <m:mathPr>
    <m:mathFont m:val="Cambria Math"/>
    <m:brkBin m:val="before"/>
    <m:brkBinSub m:val="--"/>
    <m:smallFrac m:val="0"/>
    <m:dispDef/>
    <m:lMargin m:val="0"/>
    <m:rMargin m:val="0"/>
    <m:defJc m:val="centerGroup"/>
    <m:wrapIndent m:val="1440"/>
    <m:intLim m:val="subSup"/>
    <m:naryLim m:val="undOvr"/>
  </m:mathPr>
  <w:themeFontLang w:val="es-P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E39BC"/>
  <w15:chartTrackingRefBased/>
  <w15:docId w15:val="{BF33DAEE-A633-478F-B331-E5CC2B68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P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2C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2C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2C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2C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2C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2C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2C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2C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2C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C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2C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2C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2C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2C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2C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2C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2C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2CFD"/>
    <w:rPr>
      <w:rFonts w:eastAsiaTheme="majorEastAsia" w:cstheme="majorBidi"/>
      <w:color w:val="272727" w:themeColor="text1" w:themeTint="D8"/>
    </w:rPr>
  </w:style>
  <w:style w:type="paragraph" w:styleId="Title">
    <w:name w:val="Title"/>
    <w:basedOn w:val="Normal"/>
    <w:next w:val="Normal"/>
    <w:link w:val="TitleChar"/>
    <w:uiPriority w:val="10"/>
    <w:qFormat/>
    <w:rsid w:val="003E2C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2C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2C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2C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2CFD"/>
    <w:pPr>
      <w:spacing w:before="160"/>
      <w:jc w:val="center"/>
    </w:pPr>
    <w:rPr>
      <w:i/>
      <w:iCs/>
      <w:color w:val="404040" w:themeColor="text1" w:themeTint="BF"/>
    </w:rPr>
  </w:style>
  <w:style w:type="character" w:customStyle="1" w:styleId="QuoteChar">
    <w:name w:val="Quote Char"/>
    <w:basedOn w:val="DefaultParagraphFont"/>
    <w:link w:val="Quote"/>
    <w:uiPriority w:val="29"/>
    <w:rsid w:val="003E2CFD"/>
    <w:rPr>
      <w:i/>
      <w:iCs/>
      <w:color w:val="404040" w:themeColor="text1" w:themeTint="BF"/>
    </w:rPr>
  </w:style>
  <w:style w:type="paragraph" w:styleId="ListParagraph">
    <w:name w:val="List Paragraph"/>
    <w:basedOn w:val="Normal"/>
    <w:uiPriority w:val="34"/>
    <w:qFormat/>
    <w:rsid w:val="003E2CFD"/>
    <w:pPr>
      <w:ind w:left="720"/>
      <w:contextualSpacing/>
    </w:pPr>
  </w:style>
  <w:style w:type="character" w:styleId="IntenseEmphasis">
    <w:name w:val="Intense Emphasis"/>
    <w:basedOn w:val="DefaultParagraphFont"/>
    <w:uiPriority w:val="21"/>
    <w:qFormat/>
    <w:rsid w:val="003E2CFD"/>
    <w:rPr>
      <w:i/>
      <w:iCs/>
      <w:color w:val="0F4761" w:themeColor="accent1" w:themeShade="BF"/>
    </w:rPr>
  </w:style>
  <w:style w:type="paragraph" w:styleId="IntenseQuote">
    <w:name w:val="Intense Quote"/>
    <w:basedOn w:val="Normal"/>
    <w:next w:val="Normal"/>
    <w:link w:val="IntenseQuoteChar"/>
    <w:uiPriority w:val="30"/>
    <w:qFormat/>
    <w:rsid w:val="003E2C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2CFD"/>
    <w:rPr>
      <w:i/>
      <w:iCs/>
      <w:color w:val="0F4761" w:themeColor="accent1" w:themeShade="BF"/>
    </w:rPr>
  </w:style>
  <w:style w:type="character" w:styleId="IntenseReference">
    <w:name w:val="Intense Reference"/>
    <w:basedOn w:val="DefaultParagraphFont"/>
    <w:uiPriority w:val="32"/>
    <w:qFormat/>
    <w:rsid w:val="003E2CFD"/>
    <w:rPr>
      <w:b/>
      <w:bCs/>
      <w:smallCaps/>
      <w:color w:val="0F4761" w:themeColor="accent1" w:themeShade="BF"/>
      <w:spacing w:val="5"/>
    </w:rPr>
  </w:style>
  <w:style w:type="paragraph" w:styleId="Header">
    <w:name w:val="header"/>
    <w:basedOn w:val="Normal"/>
    <w:link w:val="HeaderChar"/>
    <w:uiPriority w:val="99"/>
    <w:unhideWhenUsed/>
    <w:rsid w:val="003E2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CFD"/>
  </w:style>
  <w:style w:type="paragraph" w:styleId="Footer">
    <w:name w:val="footer"/>
    <w:basedOn w:val="Normal"/>
    <w:link w:val="FooterChar"/>
    <w:uiPriority w:val="99"/>
    <w:unhideWhenUsed/>
    <w:rsid w:val="003E2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22806">
      <w:bodyDiv w:val="1"/>
      <w:marLeft w:val="0"/>
      <w:marRight w:val="0"/>
      <w:marTop w:val="0"/>
      <w:marBottom w:val="0"/>
      <w:divBdr>
        <w:top w:val="none" w:sz="0" w:space="0" w:color="auto"/>
        <w:left w:val="none" w:sz="0" w:space="0" w:color="auto"/>
        <w:bottom w:val="none" w:sz="0" w:space="0" w:color="auto"/>
        <w:right w:val="none" w:sz="0" w:space="0" w:color="auto"/>
      </w:divBdr>
    </w:div>
    <w:div w:id="107819758">
      <w:bodyDiv w:val="1"/>
      <w:marLeft w:val="0"/>
      <w:marRight w:val="0"/>
      <w:marTop w:val="0"/>
      <w:marBottom w:val="0"/>
      <w:divBdr>
        <w:top w:val="none" w:sz="0" w:space="0" w:color="auto"/>
        <w:left w:val="none" w:sz="0" w:space="0" w:color="auto"/>
        <w:bottom w:val="none" w:sz="0" w:space="0" w:color="auto"/>
        <w:right w:val="none" w:sz="0" w:space="0" w:color="auto"/>
      </w:divBdr>
    </w:div>
    <w:div w:id="131144392">
      <w:bodyDiv w:val="1"/>
      <w:marLeft w:val="0"/>
      <w:marRight w:val="0"/>
      <w:marTop w:val="0"/>
      <w:marBottom w:val="0"/>
      <w:divBdr>
        <w:top w:val="none" w:sz="0" w:space="0" w:color="auto"/>
        <w:left w:val="none" w:sz="0" w:space="0" w:color="auto"/>
        <w:bottom w:val="none" w:sz="0" w:space="0" w:color="auto"/>
        <w:right w:val="none" w:sz="0" w:space="0" w:color="auto"/>
      </w:divBdr>
    </w:div>
    <w:div w:id="309596411">
      <w:bodyDiv w:val="1"/>
      <w:marLeft w:val="0"/>
      <w:marRight w:val="0"/>
      <w:marTop w:val="0"/>
      <w:marBottom w:val="0"/>
      <w:divBdr>
        <w:top w:val="none" w:sz="0" w:space="0" w:color="auto"/>
        <w:left w:val="none" w:sz="0" w:space="0" w:color="auto"/>
        <w:bottom w:val="none" w:sz="0" w:space="0" w:color="auto"/>
        <w:right w:val="none" w:sz="0" w:space="0" w:color="auto"/>
      </w:divBdr>
    </w:div>
    <w:div w:id="311057796">
      <w:bodyDiv w:val="1"/>
      <w:marLeft w:val="0"/>
      <w:marRight w:val="0"/>
      <w:marTop w:val="0"/>
      <w:marBottom w:val="0"/>
      <w:divBdr>
        <w:top w:val="none" w:sz="0" w:space="0" w:color="auto"/>
        <w:left w:val="none" w:sz="0" w:space="0" w:color="auto"/>
        <w:bottom w:val="none" w:sz="0" w:space="0" w:color="auto"/>
        <w:right w:val="none" w:sz="0" w:space="0" w:color="auto"/>
      </w:divBdr>
    </w:div>
    <w:div w:id="315692310">
      <w:bodyDiv w:val="1"/>
      <w:marLeft w:val="0"/>
      <w:marRight w:val="0"/>
      <w:marTop w:val="0"/>
      <w:marBottom w:val="0"/>
      <w:divBdr>
        <w:top w:val="none" w:sz="0" w:space="0" w:color="auto"/>
        <w:left w:val="none" w:sz="0" w:space="0" w:color="auto"/>
        <w:bottom w:val="none" w:sz="0" w:space="0" w:color="auto"/>
        <w:right w:val="none" w:sz="0" w:space="0" w:color="auto"/>
      </w:divBdr>
    </w:div>
    <w:div w:id="448666887">
      <w:bodyDiv w:val="1"/>
      <w:marLeft w:val="0"/>
      <w:marRight w:val="0"/>
      <w:marTop w:val="0"/>
      <w:marBottom w:val="0"/>
      <w:divBdr>
        <w:top w:val="none" w:sz="0" w:space="0" w:color="auto"/>
        <w:left w:val="none" w:sz="0" w:space="0" w:color="auto"/>
        <w:bottom w:val="none" w:sz="0" w:space="0" w:color="auto"/>
        <w:right w:val="none" w:sz="0" w:space="0" w:color="auto"/>
      </w:divBdr>
    </w:div>
    <w:div w:id="533614301">
      <w:bodyDiv w:val="1"/>
      <w:marLeft w:val="0"/>
      <w:marRight w:val="0"/>
      <w:marTop w:val="0"/>
      <w:marBottom w:val="0"/>
      <w:divBdr>
        <w:top w:val="none" w:sz="0" w:space="0" w:color="auto"/>
        <w:left w:val="none" w:sz="0" w:space="0" w:color="auto"/>
        <w:bottom w:val="none" w:sz="0" w:space="0" w:color="auto"/>
        <w:right w:val="none" w:sz="0" w:space="0" w:color="auto"/>
      </w:divBdr>
    </w:div>
    <w:div w:id="538512822">
      <w:bodyDiv w:val="1"/>
      <w:marLeft w:val="0"/>
      <w:marRight w:val="0"/>
      <w:marTop w:val="0"/>
      <w:marBottom w:val="0"/>
      <w:divBdr>
        <w:top w:val="none" w:sz="0" w:space="0" w:color="auto"/>
        <w:left w:val="none" w:sz="0" w:space="0" w:color="auto"/>
        <w:bottom w:val="none" w:sz="0" w:space="0" w:color="auto"/>
        <w:right w:val="none" w:sz="0" w:space="0" w:color="auto"/>
      </w:divBdr>
    </w:div>
    <w:div w:id="558249946">
      <w:bodyDiv w:val="1"/>
      <w:marLeft w:val="0"/>
      <w:marRight w:val="0"/>
      <w:marTop w:val="0"/>
      <w:marBottom w:val="0"/>
      <w:divBdr>
        <w:top w:val="none" w:sz="0" w:space="0" w:color="auto"/>
        <w:left w:val="none" w:sz="0" w:space="0" w:color="auto"/>
        <w:bottom w:val="none" w:sz="0" w:space="0" w:color="auto"/>
        <w:right w:val="none" w:sz="0" w:space="0" w:color="auto"/>
      </w:divBdr>
    </w:div>
    <w:div w:id="584070381">
      <w:bodyDiv w:val="1"/>
      <w:marLeft w:val="0"/>
      <w:marRight w:val="0"/>
      <w:marTop w:val="0"/>
      <w:marBottom w:val="0"/>
      <w:divBdr>
        <w:top w:val="none" w:sz="0" w:space="0" w:color="auto"/>
        <w:left w:val="none" w:sz="0" w:space="0" w:color="auto"/>
        <w:bottom w:val="none" w:sz="0" w:space="0" w:color="auto"/>
        <w:right w:val="none" w:sz="0" w:space="0" w:color="auto"/>
      </w:divBdr>
    </w:div>
    <w:div w:id="609051634">
      <w:bodyDiv w:val="1"/>
      <w:marLeft w:val="0"/>
      <w:marRight w:val="0"/>
      <w:marTop w:val="0"/>
      <w:marBottom w:val="0"/>
      <w:divBdr>
        <w:top w:val="none" w:sz="0" w:space="0" w:color="auto"/>
        <w:left w:val="none" w:sz="0" w:space="0" w:color="auto"/>
        <w:bottom w:val="none" w:sz="0" w:space="0" w:color="auto"/>
        <w:right w:val="none" w:sz="0" w:space="0" w:color="auto"/>
      </w:divBdr>
    </w:div>
    <w:div w:id="681203257">
      <w:bodyDiv w:val="1"/>
      <w:marLeft w:val="0"/>
      <w:marRight w:val="0"/>
      <w:marTop w:val="0"/>
      <w:marBottom w:val="0"/>
      <w:divBdr>
        <w:top w:val="none" w:sz="0" w:space="0" w:color="auto"/>
        <w:left w:val="none" w:sz="0" w:space="0" w:color="auto"/>
        <w:bottom w:val="none" w:sz="0" w:space="0" w:color="auto"/>
        <w:right w:val="none" w:sz="0" w:space="0" w:color="auto"/>
      </w:divBdr>
    </w:div>
    <w:div w:id="720519114">
      <w:bodyDiv w:val="1"/>
      <w:marLeft w:val="0"/>
      <w:marRight w:val="0"/>
      <w:marTop w:val="0"/>
      <w:marBottom w:val="0"/>
      <w:divBdr>
        <w:top w:val="none" w:sz="0" w:space="0" w:color="auto"/>
        <w:left w:val="none" w:sz="0" w:space="0" w:color="auto"/>
        <w:bottom w:val="none" w:sz="0" w:space="0" w:color="auto"/>
        <w:right w:val="none" w:sz="0" w:space="0" w:color="auto"/>
      </w:divBdr>
    </w:div>
    <w:div w:id="831718164">
      <w:bodyDiv w:val="1"/>
      <w:marLeft w:val="0"/>
      <w:marRight w:val="0"/>
      <w:marTop w:val="0"/>
      <w:marBottom w:val="0"/>
      <w:divBdr>
        <w:top w:val="none" w:sz="0" w:space="0" w:color="auto"/>
        <w:left w:val="none" w:sz="0" w:space="0" w:color="auto"/>
        <w:bottom w:val="none" w:sz="0" w:space="0" w:color="auto"/>
        <w:right w:val="none" w:sz="0" w:space="0" w:color="auto"/>
      </w:divBdr>
    </w:div>
    <w:div w:id="871961262">
      <w:bodyDiv w:val="1"/>
      <w:marLeft w:val="0"/>
      <w:marRight w:val="0"/>
      <w:marTop w:val="0"/>
      <w:marBottom w:val="0"/>
      <w:divBdr>
        <w:top w:val="none" w:sz="0" w:space="0" w:color="auto"/>
        <w:left w:val="none" w:sz="0" w:space="0" w:color="auto"/>
        <w:bottom w:val="none" w:sz="0" w:space="0" w:color="auto"/>
        <w:right w:val="none" w:sz="0" w:space="0" w:color="auto"/>
      </w:divBdr>
    </w:div>
    <w:div w:id="919367214">
      <w:bodyDiv w:val="1"/>
      <w:marLeft w:val="0"/>
      <w:marRight w:val="0"/>
      <w:marTop w:val="0"/>
      <w:marBottom w:val="0"/>
      <w:divBdr>
        <w:top w:val="none" w:sz="0" w:space="0" w:color="auto"/>
        <w:left w:val="none" w:sz="0" w:space="0" w:color="auto"/>
        <w:bottom w:val="none" w:sz="0" w:space="0" w:color="auto"/>
        <w:right w:val="none" w:sz="0" w:space="0" w:color="auto"/>
      </w:divBdr>
    </w:div>
    <w:div w:id="939987939">
      <w:bodyDiv w:val="1"/>
      <w:marLeft w:val="0"/>
      <w:marRight w:val="0"/>
      <w:marTop w:val="0"/>
      <w:marBottom w:val="0"/>
      <w:divBdr>
        <w:top w:val="none" w:sz="0" w:space="0" w:color="auto"/>
        <w:left w:val="none" w:sz="0" w:space="0" w:color="auto"/>
        <w:bottom w:val="none" w:sz="0" w:space="0" w:color="auto"/>
        <w:right w:val="none" w:sz="0" w:space="0" w:color="auto"/>
      </w:divBdr>
    </w:div>
    <w:div w:id="1001548159">
      <w:bodyDiv w:val="1"/>
      <w:marLeft w:val="0"/>
      <w:marRight w:val="0"/>
      <w:marTop w:val="0"/>
      <w:marBottom w:val="0"/>
      <w:divBdr>
        <w:top w:val="none" w:sz="0" w:space="0" w:color="auto"/>
        <w:left w:val="none" w:sz="0" w:space="0" w:color="auto"/>
        <w:bottom w:val="none" w:sz="0" w:space="0" w:color="auto"/>
        <w:right w:val="none" w:sz="0" w:space="0" w:color="auto"/>
      </w:divBdr>
    </w:div>
    <w:div w:id="1030373059">
      <w:bodyDiv w:val="1"/>
      <w:marLeft w:val="0"/>
      <w:marRight w:val="0"/>
      <w:marTop w:val="0"/>
      <w:marBottom w:val="0"/>
      <w:divBdr>
        <w:top w:val="none" w:sz="0" w:space="0" w:color="auto"/>
        <w:left w:val="none" w:sz="0" w:space="0" w:color="auto"/>
        <w:bottom w:val="none" w:sz="0" w:space="0" w:color="auto"/>
        <w:right w:val="none" w:sz="0" w:space="0" w:color="auto"/>
      </w:divBdr>
    </w:div>
    <w:div w:id="1046026987">
      <w:bodyDiv w:val="1"/>
      <w:marLeft w:val="0"/>
      <w:marRight w:val="0"/>
      <w:marTop w:val="0"/>
      <w:marBottom w:val="0"/>
      <w:divBdr>
        <w:top w:val="none" w:sz="0" w:space="0" w:color="auto"/>
        <w:left w:val="none" w:sz="0" w:space="0" w:color="auto"/>
        <w:bottom w:val="none" w:sz="0" w:space="0" w:color="auto"/>
        <w:right w:val="none" w:sz="0" w:space="0" w:color="auto"/>
      </w:divBdr>
    </w:div>
    <w:div w:id="1072041706">
      <w:bodyDiv w:val="1"/>
      <w:marLeft w:val="0"/>
      <w:marRight w:val="0"/>
      <w:marTop w:val="0"/>
      <w:marBottom w:val="0"/>
      <w:divBdr>
        <w:top w:val="none" w:sz="0" w:space="0" w:color="auto"/>
        <w:left w:val="none" w:sz="0" w:space="0" w:color="auto"/>
        <w:bottom w:val="none" w:sz="0" w:space="0" w:color="auto"/>
        <w:right w:val="none" w:sz="0" w:space="0" w:color="auto"/>
      </w:divBdr>
    </w:div>
    <w:div w:id="1127041744">
      <w:bodyDiv w:val="1"/>
      <w:marLeft w:val="0"/>
      <w:marRight w:val="0"/>
      <w:marTop w:val="0"/>
      <w:marBottom w:val="0"/>
      <w:divBdr>
        <w:top w:val="none" w:sz="0" w:space="0" w:color="auto"/>
        <w:left w:val="none" w:sz="0" w:space="0" w:color="auto"/>
        <w:bottom w:val="none" w:sz="0" w:space="0" w:color="auto"/>
        <w:right w:val="none" w:sz="0" w:space="0" w:color="auto"/>
      </w:divBdr>
    </w:div>
    <w:div w:id="1176379694">
      <w:bodyDiv w:val="1"/>
      <w:marLeft w:val="0"/>
      <w:marRight w:val="0"/>
      <w:marTop w:val="0"/>
      <w:marBottom w:val="0"/>
      <w:divBdr>
        <w:top w:val="none" w:sz="0" w:space="0" w:color="auto"/>
        <w:left w:val="none" w:sz="0" w:space="0" w:color="auto"/>
        <w:bottom w:val="none" w:sz="0" w:space="0" w:color="auto"/>
        <w:right w:val="none" w:sz="0" w:space="0" w:color="auto"/>
      </w:divBdr>
    </w:div>
    <w:div w:id="1246914250">
      <w:bodyDiv w:val="1"/>
      <w:marLeft w:val="0"/>
      <w:marRight w:val="0"/>
      <w:marTop w:val="0"/>
      <w:marBottom w:val="0"/>
      <w:divBdr>
        <w:top w:val="none" w:sz="0" w:space="0" w:color="auto"/>
        <w:left w:val="none" w:sz="0" w:space="0" w:color="auto"/>
        <w:bottom w:val="none" w:sz="0" w:space="0" w:color="auto"/>
        <w:right w:val="none" w:sz="0" w:space="0" w:color="auto"/>
      </w:divBdr>
    </w:div>
    <w:div w:id="1251161649">
      <w:bodyDiv w:val="1"/>
      <w:marLeft w:val="0"/>
      <w:marRight w:val="0"/>
      <w:marTop w:val="0"/>
      <w:marBottom w:val="0"/>
      <w:divBdr>
        <w:top w:val="none" w:sz="0" w:space="0" w:color="auto"/>
        <w:left w:val="none" w:sz="0" w:space="0" w:color="auto"/>
        <w:bottom w:val="none" w:sz="0" w:space="0" w:color="auto"/>
        <w:right w:val="none" w:sz="0" w:space="0" w:color="auto"/>
      </w:divBdr>
    </w:div>
    <w:div w:id="1310286251">
      <w:bodyDiv w:val="1"/>
      <w:marLeft w:val="0"/>
      <w:marRight w:val="0"/>
      <w:marTop w:val="0"/>
      <w:marBottom w:val="0"/>
      <w:divBdr>
        <w:top w:val="none" w:sz="0" w:space="0" w:color="auto"/>
        <w:left w:val="none" w:sz="0" w:space="0" w:color="auto"/>
        <w:bottom w:val="none" w:sz="0" w:space="0" w:color="auto"/>
        <w:right w:val="none" w:sz="0" w:space="0" w:color="auto"/>
      </w:divBdr>
    </w:div>
    <w:div w:id="1370183114">
      <w:bodyDiv w:val="1"/>
      <w:marLeft w:val="0"/>
      <w:marRight w:val="0"/>
      <w:marTop w:val="0"/>
      <w:marBottom w:val="0"/>
      <w:divBdr>
        <w:top w:val="none" w:sz="0" w:space="0" w:color="auto"/>
        <w:left w:val="none" w:sz="0" w:space="0" w:color="auto"/>
        <w:bottom w:val="none" w:sz="0" w:space="0" w:color="auto"/>
        <w:right w:val="none" w:sz="0" w:space="0" w:color="auto"/>
      </w:divBdr>
    </w:div>
    <w:div w:id="1449471272">
      <w:bodyDiv w:val="1"/>
      <w:marLeft w:val="0"/>
      <w:marRight w:val="0"/>
      <w:marTop w:val="0"/>
      <w:marBottom w:val="0"/>
      <w:divBdr>
        <w:top w:val="none" w:sz="0" w:space="0" w:color="auto"/>
        <w:left w:val="none" w:sz="0" w:space="0" w:color="auto"/>
        <w:bottom w:val="none" w:sz="0" w:space="0" w:color="auto"/>
        <w:right w:val="none" w:sz="0" w:space="0" w:color="auto"/>
      </w:divBdr>
    </w:div>
    <w:div w:id="1450582504">
      <w:bodyDiv w:val="1"/>
      <w:marLeft w:val="0"/>
      <w:marRight w:val="0"/>
      <w:marTop w:val="0"/>
      <w:marBottom w:val="0"/>
      <w:divBdr>
        <w:top w:val="none" w:sz="0" w:space="0" w:color="auto"/>
        <w:left w:val="none" w:sz="0" w:space="0" w:color="auto"/>
        <w:bottom w:val="none" w:sz="0" w:space="0" w:color="auto"/>
        <w:right w:val="none" w:sz="0" w:space="0" w:color="auto"/>
      </w:divBdr>
    </w:div>
    <w:div w:id="1480346974">
      <w:bodyDiv w:val="1"/>
      <w:marLeft w:val="0"/>
      <w:marRight w:val="0"/>
      <w:marTop w:val="0"/>
      <w:marBottom w:val="0"/>
      <w:divBdr>
        <w:top w:val="none" w:sz="0" w:space="0" w:color="auto"/>
        <w:left w:val="none" w:sz="0" w:space="0" w:color="auto"/>
        <w:bottom w:val="none" w:sz="0" w:space="0" w:color="auto"/>
        <w:right w:val="none" w:sz="0" w:space="0" w:color="auto"/>
      </w:divBdr>
    </w:div>
    <w:div w:id="1480420129">
      <w:bodyDiv w:val="1"/>
      <w:marLeft w:val="0"/>
      <w:marRight w:val="0"/>
      <w:marTop w:val="0"/>
      <w:marBottom w:val="0"/>
      <w:divBdr>
        <w:top w:val="none" w:sz="0" w:space="0" w:color="auto"/>
        <w:left w:val="none" w:sz="0" w:space="0" w:color="auto"/>
        <w:bottom w:val="none" w:sz="0" w:space="0" w:color="auto"/>
        <w:right w:val="none" w:sz="0" w:space="0" w:color="auto"/>
      </w:divBdr>
    </w:div>
    <w:div w:id="1500341793">
      <w:bodyDiv w:val="1"/>
      <w:marLeft w:val="0"/>
      <w:marRight w:val="0"/>
      <w:marTop w:val="0"/>
      <w:marBottom w:val="0"/>
      <w:divBdr>
        <w:top w:val="none" w:sz="0" w:space="0" w:color="auto"/>
        <w:left w:val="none" w:sz="0" w:space="0" w:color="auto"/>
        <w:bottom w:val="none" w:sz="0" w:space="0" w:color="auto"/>
        <w:right w:val="none" w:sz="0" w:space="0" w:color="auto"/>
      </w:divBdr>
    </w:div>
    <w:div w:id="1526016814">
      <w:bodyDiv w:val="1"/>
      <w:marLeft w:val="0"/>
      <w:marRight w:val="0"/>
      <w:marTop w:val="0"/>
      <w:marBottom w:val="0"/>
      <w:divBdr>
        <w:top w:val="none" w:sz="0" w:space="0" w:color="auto"/>
        <w:left w:val="none" w:sz="0" w:space="0" w:color="auto"/>
        <w:bottom w:val="none" w:sz="0" w:space="0" w:color="auto"/>
        <w:right w:val="none" w:sz="0" w:space="0" w:color="auto"/>
      </w:divBdr>
    </w:div>
    <w:div w:id="1544320270">
      <w:bodyDiv w:val="1"/>
      <w:marLeft w:val="0"/>
      <w:marRight w:val="0"/>
      <w:marTop w:val="0"/>
      <w:marBottom w:val="0"/>
      <w:divBdr>
        <w:top w:val="none" w:sz="0" w:space="0" w:color="auto"/>
        <w:left w:val="none" w:sz="0" w:space="0" w:color="auto"/>
        <w:bottom w:val="none" w:sz="0" w:space="0" w:color="auto"/>
        <w:right w:val="none" w:sz="0" w:space="0" w:color="auto"/>
      </w:divBdr>
    </w:div>
    <w:div w:id="1561018675">
      <w:bodyDiv w:val="1"/>
      <w:marLeft w:val="0"/>
      <w:marRight w:val="0"/>
      <w:marTop w:val="0"/>
      <w:marBottom w:val="0"/>
      <w:divBdr>
        <w:top w:val="none" w:sz="0" w:space="0" w:color="auto"/>
        <w:left w:val="none" w:sz="0" w:space="0" w:color="auto"/>
        <w:bottom w:val="none" w:sz="0" w:space="0" w:color="auto"/>
        <w:right w:val="none" w:sz="0" w:space="0" w:color="auto"/>
      </w:divBdr>
    </w:div>
    <w:div w:id="1589998737">
      <w:bodyDiv w:val="1"/>
      <w:marLeft w:val="0"/>
      <w:marRight w:val="0"/>
      <w:marTop w:val="0"/>
      <w:marBottom w:val="0"/>
      <w:divBdr>
        <w:top w:val="none" w:sz="0" w:space="0" w:color="auto"/>
        <w:left w:val="none" w:sz="0" w:space="0" w:color="auto"/>
        <w:bottom w:val="none" w:sz="0" w:space="0" w:color="auto"/>
        <w:right w:val="none" w:sz="0" w:space="0" w:color="auto"/>
      </w:divBdr>
    </w:div>
    <w:div w:id="1728527032">
      <w:bodyDiv w:val="1"/>
      <w:marLeft w:val="0"/>
      <w:marRight w:val="0"/>
      <w:marTop w:val="0"/>
      <w:marBottom w:val="0"/>
      <w:divBdr>
        <w:top w:val="none" w:sz="0" w:space="0" w:color="auto"/>
        <w:left w:val="none" w:sz="0" w:space="0" w:color="auto"/>
        <w:bottom w:val="none" w:sz="0" w:space="0" w:color="auto"/>
        <w:right w:val="none" w:sz="0" w:space="0" w:color="auto"/>
      </w:divBdr>
    </w:div>
    <w:div w:id="1731684855">
      <w:bodyDiv w:val="1"/>
      <w:marLeft w:val="0"/>
      <w:marRight w:val="0"/>
      <w:marTop w:val="0"/>
      <w:marBottom w:val="0"/>
      <w:divBdr>
        <w:top w:val="none" w:sz="0" w:space="0" w:color="auto"/>
        <w:left w:val="none" w:sz="0" w:space="0" w:color="auto"/>
        <w:bottom w:val="none" w:sz="0" w:space="0" w:color="auto"/>
        <w:right w:val="none" w:sz="0" w:space="0" w:color="auto"/>
      </w:divBdr>
    </w:div>
    <w:div w:id="1772049520">
      <w:bodyDiv w:val="1"/>
      <w:marLeft w:val="0"/>
      <w:marRight w:val="0"/>
      <w:marTop w:val="0"/>
      <w:marBottom w:val="0"/>
      <w:divBdr>
        <w:top w:val="none" w:sz="0" w:space="0" w:color="auto"/>
        <w:left w:val="none" w:sz="0" w:space="0" w:color="auto"/>
        <w:bottom w:val="none" w:sz="0" w:space="0" w:color="auto"/>
        <w:right w:val="none" w:sz="0" w:space="0" w:color="auto"/>
      </w:divBdr>
    </w:div>
    <w:div w:id="2052024593">
      <w:bodyDiv w:val="1"/>
      <w:marLeft w:val="0"/>
      <w:marRight w:val="0"/>
      <w:marTop w:val="0"/>
      <w:marBottom w:val="0"/>
      <w:divBdr>
        <w:top w:val="none" w:sz="0" w:space="0" w:color="auto"/>
        <w:left w:val="none" w:sz="0" w:space="0" w:color="auto"/>
        <w:bottom w:val="none" w:sz="0" w:space="0" w:color="auto"/>
        <w:right w:val="none" w:sz="0" w:space="0" w:color="auto"/>
      </w:divBdr>
    </w:div>
    <w:div w:id="2063289536">
      <w:bodyDiv w:val="1"/>
      <w:marLeft w:val="0"/>
      <w:marRight w:val="0"/>
      <w:marTop w:val="0"/>
      <w:marBottom w:val="0"/>
      <w:divBdr>
        <w:top w:val="none" w:sz="0" w:space="0" w:color="auto"/>
        <w:left w:val="none" w:sz="0" w:space="0" w:color="auto"/>
        <w:bottom w:val="none" w:sz="0" w:space="0" w:color="auto"/>
        <w:right w:val="none" w:sz="0" w:space="0" w:color="auto"/>
      </w:divBdr>
    </w:div>
    <w:div w:id="2069765715">
      <w:bodyDiv w:val="1"/>
      <w:marLeft w:val="0"/>
      <w:marRight w:val="0"/>
      <w:marTop w:val="0"/>
      <w:marBottom w:val="0"/>
      <w:divBdr>
        <w:top w:val="none" w:sz="0" w:space="0" w:color="auto"/>
        <w:left w:val="none" w:sz="0" w:space="0" w:color="auto"/>
        <w:bottom w:val="none" w:sz="0" w:space="0" w:color="auto"/>
        <w:right w:val="none" w:sz="0" w:space="0" w:color="auto"/>
      </w:divBdr>
    </w:div>
    <w:div w:id="214473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09DC70094E0A4990CF6B41B167AD0A" ma:contentTypeVersion="0" ma:contentTypeDescription="Create a new document." ma:contentTypeScope="" ma:versionID="3e93467f0578a4ee251a8412593b6a89">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FC8208-D0C4-407E-B646-20B258E519A3}"/>
</file>

<file path=customXml/itemProps2.xml><?xml version="1.0" encoding="utf-8"?>
<ds:datastoreItem xmlns:ds="http://schemas.openxmlformats.org/officeDocument/2006/customXml" ds:itemID="{E2332B97-BB68-4466-975E-E7BCED81435D}"/>
</file>

<file path=customXml/itemProps3.xml><?xml version="1.0" encoding="utf-8"?>
<ds:datastoreItem xmlns:ds="http://schemas.openxmlformats.org/officeDocument/2006/customXml" ds:itemID="{C98D37DA-97E1-4784-ACC3-7416A7CF7E41}"/>
</file>

<file path=docProps/app.xml><?xml version="1.0" encoding="utf-8"?>
<Properties xmlns="http://schemas.openxmlformats.org/officeDocument/2006/extended-properties" xmlns:vt="http://schemas.openxmlformats.org/officeDocument/2006/docPropsVTypes">
  <Template>Normal</Template>
  <TotalTime>9</TotalTime>
  <Pages>18</Pages>
  <Words>5390</Words>
  <Characters>30727</Characters>
  <Application>Microsoft Office Word</Application>
  <DocSecurity>4</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Meléndez-Figueroa</dc:creator>
  <cp:keywords/>
  <dc:description/>
  <cp:lastModifiedBy>Hector E. Rivera Maldonado</cp:lastModifiedBy>
  <cp:revision>2</cp:revision>
  <dcterms:created xsi:type="dcterms:W3CDTF">2024-10-15T14:10:00Z</dcterms:created>
  <dcterms:modified xsi:type="dcterms:W3CDTF">2024-10-15T14:10:00Z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0x0101008209DC70094E0A4990CF6B41B167AD0A</vt:lpwstr>
  </property>
</Properties>
</file>